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7C40A1">
      <w:pPr>
        <w:spacing w:line="50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附件1：</w:t>
      </w:r>
    </w:p>
    <w:p w14:paraId="095719F0">
      <w:pPr>
        <w:spacing w:line="500" w:lineRule="exact"/>
        <w:rPr>
          <w:rFonts w:hint="eastAsia" w:ascii="方正小标宋简体" w:eastAsia="方正小标宋简体"/>
          <w:color w:val="000000"/>
          <w:sz w:val="36"/>
          <w:szCs w:val="36"/>
        </w:rPr>
      </w:pPr>
      <w:r>
        <w:rPr>
          <w:rFonts w:ascii="方正小标宋简体" w:eastAsia="方正小标宋简体" w:cs="方正小标宋简体"/>
          <w:b w:val="0"/>
          <w:vanish w:val="0"/>
          <w:kern w:val="36"/>
          <w:sz w:val="28"/>
          <w:szCs w:val="28"/>
          <w:lang w:eastAsia="zh-CN"/>
        </w:rPr>
        <w:t xml:space="preserve">                   </w:t>
      </w:r>
      <w:r>
        <w:rPr>
          <w:rFonts w:hint="eastAsia" w:ascii="方正小标宋简体" w:eastAsia="方正小标宋简体" w:cs="方正小标宋简体"/>
          <w:b w:val="0"/>
          <w:vanish w:val="0"/>
          <w:kern w:val="36"/>
          <w:sz w:val="36"/>
          <w:szCs w:val="36"/>
          <w:lang w:eastAsia="zh-CN"/>
        </w:rPr>
        <w:t xml:space="preserve">  </w:t>
      </w:r>
      <w:r>
        <w:rPr>
          <w:rFonts w:hint="eastAsia" w:ascii="方正小标宋简体" w:eastAsia="方正小标宋简体"/>
          <w:b w:val="0"/>
          <w:i w:val="0"/>
          <w:iCs w:val="0"/>
          <w:caps w:val="0"/>
          <w:smallCaps w:val="0"/>
          <w:vanish w:val="0"/>
          <w:color w:val="000000"/>
          <w:spacing w:val="0"/>
          <w:kern w:val="36"/>
          <w:sz w:val="36"/>
          <w:szCs w:val="36"/>
        </w:rPr>
        <w:t>采购需求一览表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680"/>
        <w:gridCol w:w="720"/>
        <w:gridCol w:w="718"/>
        <w:gridCol w:w="4695"/>
      </w:tblGrid>
      <w:tr w14:paraId="036C6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 w14:paraId="0C844BF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center"/>
              <w:rPr>
                <w:rFonts w:hint="eastAsia"/>
                <w:b/>
                <w:bCs/>
                <w:color w:val="000000"/>
                <w:sz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</w:rPr>
              <w:t>序号</w:t>
            </w:r>
          </w:p>
        </w:tc>
        <w:tc>
          <w:tcPr>
            <w:tcW w:w="1680" w:type="dxa"/>
          </w:tcPr>
          <w:p w14:paraId="73B58CD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center"/>
              <w:rPr>
                <w:rFonts w:hint="eastAsia"/>
                <w:b/>
                <w:bCs/>
                <w:color w:val="000000"/>
                <w:sz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</w:rPr>
              <w:t>服务名称</w:t>
            </w:r>
          </w:p>
        </w:tc>
        <w:tc>
          <w:tcPr>
            <w:tcW w:w="720" w:type="dxa"/>
          </w:tcPr>
          <w:p w14:paraId="3E4D5DA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center"/>
              <w:rPr>
                <w:rFonts w:hint="eastAsia"/>
                <w:b/>
                <w:bCs/>
                <w:color w:val="000000"/>
                <w:sz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</w:rPr>
              <w:t>数量</w:t>
            </w:r>
          </w:p>
        </w:tc>
        <w:tc>
          <w:tcPr>
            <w:tcW w:w="718" w:type="dxa"/>
          </w:tcPr>
          <w:p w14:paraId="52FB688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center"/>
              <w:rPr>
                <w:rFonts w:hint="eastAsia"/>
                <w:b/>
                <w:bCs/>
                <w:color w:val="000000"/>
                <w:sz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</w:rPr>
              <w:t>单位</w:t>
            </w:r>
          </w:p>
        </w:tc>
        <w:tc>
          <w:tcPr>
            <w:tcW w:w="4695" w:type="dxa"/>
          </w:tcPr>
          <w:p w14:paraId="55A3DD4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center"/>
              <w:rPr>
                <w:rFonts w:hint="eastAsia"/>
                <w:b/>
                <w:bCs/>
                <w:color w:val="000000"/>
                <w:sz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</w:rPr>
              <w:t>项目需求或技术参数</w:t>
            </w:r>
          </w:p>
        </w:tc>
      </w:tr>
      <w:tr w14:paraId="7DA6A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708" w:type="dxa"/>
            <w:vAlign w:val="center"/>
          </w:tcPr>
          <w:p w14:paraId="3D7C4B0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4"/>
              </w:rPr>
              <w:t>1</w:t>
            </w:r>
          </w:p>
        </w:tc>
        <w:tc>
          <w:tcPr>
            <w:tcW w:w="1680" w:type="dxa"/>
            <w:vAlign w:val="center"/>
          </w:tcPr>
          <w:p w14:paraId="2BCF595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Cs w:val="24"/>
              </w:rPr>
            </w:pPr>
            <w:r>
              <w:rPr>
                <w:rFonts w:hint="eastAsia" w:ascii="仿宋_GB2312" w:eastAsia="仿宋_GB2312" w:cs="仿宋_GB2312"/>
                <w:caps w:val="0"/>
                <w:smallCaps w:val="0"/>
                <w:vanish w:val="0"/>
                <w:color w:val="auto"/>
                <w:sz w:val="24"/>
                <w:szCs w:val="24"/>
                <w:vertAlign w:val="baseline"/>
                <w:lang w:eastAsia="zh-CN"/>
              </w:rPr>
              <w:t>广西药品安全及高质量发展“十五五”规划编制</w:t>
            </w:r>
            <w:r>
              <w:rPr>
                <w:rFonts w:hint="eastAsia" w:ascii="仿宋_GB2312" w:eastAsia="仿宋_GB2312" w:cs="仿宋_GB2312"/>
                <w:caps w:val="0"/>
                <w:smallCaps w:val="0"/>
                <w:vanish w:val="0"/>
                <w:color w:val="auto"/>
                <w:sz w:val="24"/>
                <w:szCs w:val="24"/>
                <w:vertAlign w:val="baseline"/>
              </w:rPr>
              <w:t>服务</w:t>
            </w:r>
          </w:p>
        </w:tc>
        <w:tc>
          <w:tcPr>
            <w:tcW w:w="720" w:type="dxa"/>
            <w:vAlign w:val="center"/>
          </w:tcPr>
          <w:p w14:paraId="03145FF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Cs w:val="24"/>
              </w:rPr>
            </w:pPr>
            <w:r>
              <w:rPr>
                <w:rFonts w:ascii="仿宋_GB2312" w:eastAsia="仿宋_GB2312"/>
                <w:color w:val="000000"/>
                <w:szCs w:val="24"/>
              </w:rPr>
              <w:t>1</w:t>
            </w:r>
          </w:p>
        </w:tc>
        <w:tc>
          <w:tcPr>
            <w:tcW w:w="718" w:type="dxa"/>
            <w:vAlign w:val="center"/>
          </w:tcPr>
          <w:p w14:paraId="22DFAE1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Cs w:val="24"/>
              </w:rPr>
            </w:pPr>
            <w:r>
              <w:rPr>
                <w:rFonts w:ascii="仿宋_GB2312" w:eastAsia="仿宋_GB2312"/>
                <w:color w:val="000000"/>
                <w:szCs w:val="24"/>
              </w:rPr>
              <w:t>项</w:t>
            </w:r>
          </w:p>
        </w:tc>
        <w:tc>
          <w:tcPr>
            <w:tcW w:w="4695" w:type="dxa"/>
          </w:tcPr>
          <w:p w14:paraId="24C40770">
            <w:pPr>
              <w:pStyle w:val="7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exact"/>
              <w:ind w:right="0"/>
              <w:jc w:val="both"/>
              <w:rPr>
                <w:rFonts w:hint="eastAsia" w:ascii="黑体" w:eastAsia="黑体" w:cs="仿宋_GB2312"/>
                <w:color w:val="000000"/>
                <w:szCs w:val="24"/>
                <w:u w:val="none"/>
              </w:rPr>
            </w:pPr>
            <w:r>
              <w:rPr>
                <w:rFonts w:hint="eastAsia" w:ascii="黑体" w:eastAsia="黑体" w:cs="仿宋_GB2312"/>
                <w:color w:val="000000"/>
                <w:szCs w:val="24"/>
                <w:u w:val="none"/>
              </w:rPr>
              <w:t>服务范围</w:t>
            </w:r>
          </w:p>
          <w:p w14:paraId="327E3AB0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exact"/>
              <w:ind w:right="0" w:firstLine="0"/>
              <w:jc w:val="both"/>
              <w:rPr>
                <w:rFonts w:hint="eastAsia" w:ascii="仿宋_GB2312" w:eastAsia="仿宋_GB2312" w:cs="仿宋_GB2312"/>
                <w:b w:val="0"/>
                <w:bCs w:val="0"/>
                <w:color w:val="auto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Cs w:val="24"/>
                <w:highlight w:val="none"/>
                <w:lang w:val="en-US" w:eastAsia="zh-CN"/>
              </w:rPr>
              <w:t>立足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Cs w:val="24"/>
                <w:highlight w:val="none"/>
                <w:lang w:eastAsia="zh-CN"/>
              </w:rPr>
              <w:t>广西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Cs w:val="24"/>
                <w:highlight w:val="none"/>
                <w:lang w:val="en-US" w:eastAsia="zh-CN"/>
              </w:rPr>
              <w:t>药监“十四五”工作的基础和现状，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Cs w:val="24"/>
                <w:highlight w:val="none"/>
                <w:lang w:eastAsia="zh-CN"/>
              </w:rPr>
              <w:t>对广西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Cs w:val="24"/>
                <w:highlight w:val="none"/>
                <w:lang w:val="en-US" w:eastAsia="zh-CN"/>
              </w:rPr>
              <w:t>开展实地调研、座谈、调查问卷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Cs w:val="24"/>
                <w:highlight w:val="none"/>
                <w:lang w:eastAsia="zh-CN"/>
              </w:rPr>
              <w:t>、提供资料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Cs w:val="24"/>
                <w:highlight w:val="none"/>
                <w:lang w:val="en-US" w:eastAsia="zh-CN"/>
              </w:rPr>
              <w:t>等开展科学调研，收集资料、信息整理汇总分析，形成完整的广西药品监管基本信息数据。</w:t>
            </w:r>
          </w:p>
          <w:p w14:paraId="1619CB2D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exact"/>
              <w:ind w:right="0"/>
              <w:jc w:val="both"/>
              <w:rPr>
                <w:rFonts w:hint="eastAsia" w:ascii="黑体" w:eastAsia="黑体" w:cs="仿宋_GB2312"/>
                <w:b w:val="0"/>
                <w:bCs w:val="0"/>
                <w:color w:val="auto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eastAsia="黑体" w:cs="仿宋_GB2312"/>
                <w:b w:val="0"/>
                <w:bCs w:val="0"/>
                <w:color w:val="auto"/>
                <w:szCs w:val="24"/>
                <w:highlight w:val="none"/>
                <w:lang w:val="en-US" w:eastAsia="zh-CN"/>
              </w:rPr>
              <w:t>二、服务要求</w:t>
            </w:r>
          </w:p>
          <w:p w14:paraId="29BEA6AC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exact"/>
              <w:ind w:right="0"/>
              <w:jc w:val="both"/>
              <w:rPr>
                <w:rFonts w:hint="eastAsia" w:ascii="仿宋_GB2312" w:eastAsia="仿宋_GB2312" w:cs="仿宋_GB2312"/>
                <w:color w:val="000000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Cs w:val="24"/>
                <w:highlight w:val="none"/>
                <w:lang w:val="en-US" w:eastAsia="zh-CN"/>
              </w:rPr>
              <w:t>以国家政策导向为指引，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szCs w:val="24"/>
                <w:highlight w:val="none"/>
                <w:lang w:val="en-US" w:eastAsia="zh-CN"/>
              </w:rPr>
              <w:t>借鉴吸收国内优秀经验，围绕完善药品安全治理体系、健全制度标准体系、规范监管执法、强化风险防控、改革创新服务、加强技术支撑能力建设、强化队伍建设、提升监管信息化水平、支持医药产业高质量发展</w:t>
            </w:r>
            <w:r>
              <w:rPr>
                <w:rFonts w:hint="eastAsia" w:ascii="仿宋_GB2312" w:eastAsia="仿宋_GB2312" w:cs="仿宋_GB2312"/>
                <w:b w:val="0"/>
                <w:bCs w:val="0"/>
                <w:strike w:val="0"/>
                <w:dstrike w:val="0"/>
                <w:color w:val="000000"/>
                <w:szCs w:val="24"/>
                <w:highlight w:val="none"/>
                <w:lang w:val="en-US" w:eastAsia="zh-CN"/>
              </w:rPr>
              <w:t>等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szCs w:val="24"/>
                <w:highlight w:val="none"/>
                <w:lang w:val="en-US" w:eastAsia="zh-CN"/>
              </w:rPr>
              <w:t>方面提出相应体现药品监管改革</w:t>
            </w:r>
            <w:r>
              <w:rPr>
                <w:rFonts w:hint="eastAsia" w:ascii="仿宋_GB2312" w:eastAsia="仿宋_GB2312" w:cs="仿宋_GB2312"/>
                <w:b w:val="0"/>
                <w:bCs w:val="0"/>
                <w:strike/>
                <w:dstrike w:val="0"/>
                <w:color w:val="000000"/>
                <w:szCs w:val="24"/>
                <w:highlight w:val="none"/>
                <w:lang w:val="en-US" w:eastAsia="zh-CN"/>
              </w:rPr>
              <w:t>与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szCs w:val="24"/>
                <w:highlight w:val="none"/>
                <w:lang w:val="en-US" w:eastAsia="zh-CN"/>
              </w:rPr>
              <w:t>创新精神，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Cs w:val="24"/>
                <w:highlight w:val="none"/>
                <w:lang w:val="en-US" w:eastAsia="zh-CN"/>
              </w:rPr>
              <w:t>研究提出“十五五”时期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Cs w:val="24"/>
                <w:highlight w:val="none"/>
                <w:lang w:eastAsia="zh-CN"/>
              </w:rPr>
              <w:t>广西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szCs w:val="24"/>
                <w:highlight w:val="none"/>
                <w:lang w:val="en-US" w:eastAsia="zh-CN"/>
              </w:rPr>
              <w:t>药品安全与高质量发展的指导思想、基本原则、战略定位和建设目标。</w:t>
            </w:r>
          </w:p>
          <w:p w14:paraId="69F450B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/>
              <w:textAlignment w:val="auto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</w:rPr>
              <w:t>三、</w:t>
            </w:r>
            <w:r>
              <w:rPr>
                <w:rFonts w:ascii="黑体" w:eastAsia="黑体"/>
                <w:color w:val="000000"/>
                <w:sz w:val="24"/>
                <w:szCs w:val="24"/>
              </w:rPr>
              <w:t>报告</w:t>
            </w:r>
            <w:r>
              <w:rPr>
                <w:rFonts w:hint="eastAsia" w:ascii="黑体" w:eastAsia="黑体"/>
                <w:color w:val="000000"/>
                <w:sz w:val="24"/>
                <w:szCs w:val="24"/>
              </w:rPr>
              <w:t>编制</w:t>
            </w:r>
            <w:r>
              <w:rPr>
                <w:rFonts w:ascii="黑体" w:eastAsia="黑体"/>
                <w:color w:val="000000"/>
                <w:sz w:val="24"/>
                <w:szCs w:val="24"/>
              </w:rPr>
              <w:t>主要</w:t>
            </w:r>
            <w:r>
              <w:rPr>
                <w:rFonts w:hint="eastAsia" w:ascii="黑体" w:eastAsia="黑体"/>
                <w:color w:val="000000"/>
                <w:sz w:val="24"/>
                <w:szCs w:val="24"/>
              </w:rPr>
              <w:t>内容</w:t>
            </w:r>
          </w:p>
          <w:p w14:paraId="7720109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/>
              <w:textAlignment w:val="auto"/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1、“十四五”发展成效</w:t>
            </w:r>
            <w:r>
              <w:rPr>
                <w:rFonts w:hint="eastAsia" w:ascii="仿宋_GB2312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。对十四五期间发展成效的总结，主要基于“十四五”规划目标完成情况进行系统阐述，同时总结自治区党委、政府的最新决策部署、国家药监局工作要求。突出具有突破性示范效应、领衔示范效应、优势示范效应、常规工作完成情况、重大项目阶段性进展等情况。成效聚焦结论性成效和数据型总结，做到系统全面、条理清晰、总结精准、亮点突出。</w:t>
            </w:r>
          </w:p>
          <w:p w14:paraId="40F0565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/>
              <w:textAlignment w:val="auto"/>
              <w:rPr>
                <w:rFonts w:hint="eastAsia" w:ascii="仿宋_GB2312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1.1监管工作成效</w:t>
            </w:r>
          </w:p>
          <w:p w14:paraId="563843C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/>
              <w:textAlignment w:val="auto"/>
              <w:rPr>
                <w:rFonts w:hint="eastAsia" w:ascii="仿宋_GB2312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主要围绕药品监管体制机制、法规制度标准、技术能力建设、监督执法成效等方面开展分析总结。</w:t>
            </w:r>
          </w:p>
          <w:p w14:paraId="7EC0E6E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/>
              <w:textAlignment w:val="auto"/>
              <w:rPr>
                <w:rFonts w:hint="eastAsia" w:ascii="仿宋_GB2312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1.2服务工作成效</w:t>
            </w:r>
          </w:p>
          <w:p w14:paraId="494354F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/>
              <w:textAlignment w:val="auto"/>
              <w:rPr>
                <w:rFonts w:hint="eastAsia" w:ascii="仿宋_GB2312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主要围绕创新服务产业政策、多部门协同政策、市场主体发展情况、研发创新进展成果、产业园区发展情况等方面开展分析总结。</w:t>
            </w:r>
          </w:p>
          <w:p w14:paraId="4A5CE97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/>
              <w:textAlignment w:val="auto"/>
              <w:rPr>
                <w:rFonts w:hint="eastAsia" w:ascii="仿宋_GB2312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2、“十五五”发展环境及面临的问题</w:t>
            </w:r>
          </w:p>
          <w:p w14:paraId="36B8954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/>
              <w:textAlignment w:val="auto"/>
              <w:rPr>
                <w:rFonts w:hint="eastAsia" w:ascii="仿宋_GB2312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2.1“十五五”发展环境</w:t>
            </w:r>
          </w:p>
          <w:p w14:paraId="1BFD64D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一是看外部环境，找准广西药品安全及高质量发展的重点特色。二是看内部发展，找准广西药品安全及高质量发展的难点堵点。三是找自身亮点，找准广西药品安全及高质量发展的亮点机会。四是找自身不足，找准广西药品安全及高质量发展的差距需求。</w:t>
            </w:r>
          </w:p>
          <w:p w14:paraId="0E214E2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/>
              <w:textAlignment w:val="auto"/>
              <w:rPr>
                <w:rFonts w:hint="eastAsia" w:ascii="仿宋_GB2312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2.2“十五五”发展面临的问题</w:t>
            </w:r>
          </w:p>
          <w:p w14:paraId="24F734B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/>
              <w:textAlignment w:val="auto"/>
              <w:rPr>
                <w:rFonts w:hint="eastAsia" w:ascii="仿宋_GB2312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基于“十五五”发展环境的分析，强调通过实地调研开展问题收集，据实了解监管一线、产业一线所面临的发展难题，问题主要聚焦现代化药品监管能力建设情况、药品监管层面和市场发展层面的资源能力匹配情况、新型药品监管服务模式建设情况等。</w:t>
            </w:r>
          </w:p>
          <w:p w14:paraId="736B350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/>
              <w:textAlignment w:val="auto"/>
              <w:rPr>
                <w:rFonts w:hint="eastAsia" w:ascii="仿宋_GB2312" w:eastAsia="仿宋_GB2312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3、“十五五”发展目标</w:t>
            </w:r>
          </w:p>
          <w:p w14:paraId="68B7F00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/>
              <w:textAlignment w:val="auto"/>
              <w:rPr>
                <w:rFonts w:hint="eastAsia" w:ascii="仿宋_GB2312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发展目标与战略定位和阶段性任务密切相关。围绕省委、省政府的决策部署和目标定位，结合广西药监局十五五时期的发展基础和工作目标，开展定性、定量发展指标的系统谋划。</w:t>
            </w:r>
          </w:p>
          <w:p w14:paraId="26BF784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/>
              <w:textAlignment w:val="auto"/>
              <w:rPr>
                <w:rFonts w:hint="eastAsia" w:ascii="仿宋_GB2312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3.1“十五五”时期主要目标</w:t>
            </w:r>
          </w:p>
          <w:p w14:paraId="1D07942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/>
              <w:textAlignment w:val="auto"/>
              <w:rPr>
                <w:rFonts w:hint="eastAsia" w:ascii="仿宋_GB2312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计划围绕监管治理体系、法规标准体系、规范监管执法、改革创新服务、技术支撑能力、监管信息化水平这六个方面谋划“十五五”期间的主要工作，对上述六项均需要提出定性的目标性要求，保障责任落实有方向。</w:t>
            </w:r>
          </w:p>
          <w:p w14:paraId="4BA4B11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/>
              <w:textAlignment w:val="auto"/>
              <w:rPr>
                <w:rFonts w:hint="eastAsia" w:ascii="仿宋_GB2312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3.2“十五五”时期量化目标</w:t>
            </w:r>
          </w:p>
          <w:p w14:paraId="17A12ED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/>
              <w:textAlignment w:val="auto"/>
              <w:rPr>
                <w:rFonts w:hint="eastAsia" w:ascii="仿宋_GB2312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围绕“主要目标”细化各领域目标，以“强制性”“预期性”两类目标量化方式开展，目标制定均以数值明确提出，保障责任落实有要求。如制定出台监管协调制度性文件数量、产业创新服务政策数量、国家级职业化专业化检查员数量等。</w:t>
            </w:r>
          </w:p>
          <w:p w14:paraId="1199865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/>
              <w:textAlignment w:val="auto"/>
              <w:rPr>
                <w:rFonts w:hint="eastAsia" w:ascii="仿宋_GB2312" w:eastAsia="仿宋_GB2312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4、“十五五”重点任务及重大项目</w:t>
            </w:r>
          </w:p>
          <w:p w14:paraId="54C118D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/>
              <w:textAlignment w:val="auto"/>
              <w:rPr>
                <w:rFonts w:hint="eastAsia" w:ascii="仿宋_GB2312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基于发展目标和药监职能开展重点任务举措的梳理，明确部分重大工程项目，以项目为抓手、以举措为依托保障各项工作稳步落实。</w:t>
            </w:r>
          </w:p>
          <w:p w14:paraId="64055D5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/>
              <w:textAlignment w:val="auto"/>
              <w:rPr>
                <w:rFonts w:hint="eastAsia" w:ascii="仿宋_GB2312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4.1完善监管治理体系，构建药品监管长效机制</w:t>
            </w:r>
          </w:p>
          <w:p w14:paraId="7740B39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/>
              <w:textAlignment w:val="auto"/>
              <w:rPr>
                <w:rFonts w:hint="eastAsia" w:ascii="仿宋_GB2312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完善监管协调机制，打造事权明晰的药品监管“广西模式”。完善药品安全责任体系，规范有效落实监管责任。完善产业链风险会商程序，形成常态化药品安全防护机制。完善社会共治体系。</w:t>
            </w:r>
          </w:p>
          <w:p w14:paraId="5E0ABC0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/>
              <w:textAlignment w:val="auto"/>
              <w:rPr>
                <w:rFonts w:hint="eastAsia" w:ascii="仿宋_GB2312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4.2完善法规标准体系，坚持药品监管以良法促善治</w:t>
            </w:r>
          </w:p>
          <w:p w14:paraId="4A8C085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/>
              <w:textAlignment w:val="auto"/>
              <w:rPr>
                <w:rFonts w:hint="eastAsia" w:ascii="仿宋_GB2312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健全法治建设体系，不断加强广西法治政府建设。加强法规制度宣贯，不断提升药品监管普法工作实效。健全质量标准体系，推动“广西标准”达到全国先进水平。</w:t>
            </w:r>
          </w:p>
          <w:p w14:paraId="02D2579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/>
              <w:textAlignment w:val="auto"/>
              <w:rPr>
                <w:rFonts w:hint="eastAsia" w:ascii="仿宋_GB2312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4.3严格规范监管执法，打造全生命周期药品监管链条</w:t>
            </w:r>
          </w:p>
          <w:p w14:paraId="050F8CE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/>
              <w:textAlignment w:val="auto"/>
              <w:rPr>
                <w:rFonts w:hint="eastAsia" w:ascii="仿宋_GB2312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持续深化药品全过程监管，坚守质量安全“生命线”。强化提升重点领域监管力度，聚焦质量安全突出问题。提升稽查执法水平，着力打造公正规范的稽查执法环境。加大执法办案力度，健全统一联动的执法办案工作机制。</w:t>
            </w:r>
          </w:p>
          <w:p w14:paraId="738AB2E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/>
              <w:textAlignment w:val="auto"/>
              <w:rPr>
                <w:rFonts w:hint="eastAsia" w:ascii="仿宋_GB2312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4.4深化改革创新服务，推动医药产业高质量发展</w:t>
            </w:r>
          </w:p>
          <w:p w14:paraId="05E6F27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/>
              <w:textAlignment w:val="auto"/>
              <w:rPr>
                <w:rFonts w:hint="eastAsia" w:ascii="仿宋_GB2312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持续深化改革创新，丰富促进产业高质量发展的政策供给。深化审评审批制度改革，持续提高审评审批便利度服务产业创新发展。促进中医药传承创新，做大做强做优广西中药壮瑶药产业。支持引育新动能，打造中国－东盟跨境产业集群。鼓励跨区域产业融合，助力产业汇聚新质生产力。</w:t>
            </w:r>
          </w:p>
          <w:p w14:paraId="264739F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/>
              <w:textAlignment w:val="auto"/>
              <w:rPr>
                <w:rFonts w:hint="eastAsia" w:ascii="仿宋_GB2312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4.5提升技术支撑能力，适应广西药品产业发展特点</w:t>
            </w:r>
          </w:p>
          <w:p w14:paraId="3B9FB55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/>
              <w:textAlignment w:val="auto"/>
              <w:rPr>
                <w:rFonts w:hint="eastAsia" w:ascii="仿宋_GB2312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深入开展监管科学研究，赋能新时代药品监管决策。提升技术审评能力，建设国内先进审评认证中心。强化检验检测能力，建立国内一流检验检测机构。完善不良反应监测评价体系，争创全国药物警戒示范区。推进人才队伍建设，打造业务精湛的药品监管“广西铁军”。    </w:t>
            </w:r>
          </w:p>
          <w:p w14:paraId="18C3D86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/>
              <w:textAlignment w:val="auto"/>
              <w:rPr>
                <w:rFonts w:hint="eastAsia" w:ascii="仿宋_GB2312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4.6提升监管信息化水平，推动发挥智慧监管精准效能</w:t>
            </w:r>
          </w:p>
          <w:p w14:paraId="26D01C4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/>
              <w:textAlignment w:val="auto"/>
              <w:rPr>
                <w:rFonts w:hint="eastAsia" w:ascii="仿宋_GB2312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加快推进智慧监管数字化基础平台建设。升级完善智慧监管应用平台建设应用。保障推动重点品种全过程可追溯建设。</w:t>
            </w:r>
          </w:p>
          <w:p w14:paraId="5BF2308F">
            <w:pPr>
              <w:spacing w:line="360" w:lineRule="exact"/>
              <w:ind w:left="0"/>
              <w:rPr>
                <w:rFonts w:hint="eastAsia" w:ascii="仿宋_GB2312" w:eastAsia="仿宋_GB2312"/>
                <w:b/>
                <w:bCs w:val="0"/>
                <w:color w:val="000000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000000"/>
                <w:szCs w:val="24"/>
                <w:lang w:val="en-US" w:eastAsia="zh-CN"/>
              </w:rPr>
              <w:t>5、保障措施</w:t>
            </w:r>
          </w:p>
          <w:p w14:paraId="0F037F56">
            <w:pPr>
              <w:spacing w:line="360" w:lineRule="exact"/>
              <w:ind w:left="0"/>
              <w:rPr>
                <w:rFonts w:hint="eastAsia" w:ascii="仿宋_GB2312" w:eastAsia="仿宋_GB2312"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4"/>
                <w:lang w:val="en-US" w:eastAsia="zh-CN"/>
              </w:rPr>
              <w:t>5.1组织保障（强化政治建设、正风肃纪）</w:t>
            </w:r>
          </w:p>
          <w:p w14:paraId="4CF7151F">
            <w:pPr>
              <w:spacing w:line="360" w:lineRule="exact"/>
              <w:ind w:left="0"/>
              <w:rPr>
                <w:rFonts w:hint="eastAsia" w:ascii="仿宋_GB2312" w:eastAsia="仿宋_GB2312"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4"/>
                <w:lang w:val="en-US" w:eastAsia="zh-CN"/>
              </w:rPr>
              <w:t>5.2机制保障（严格责任落实、追踪评估）</w:t>
            </w:r>
          </w:p>
          <w:p w14:paraId="29956DA5">
            <w:pPr>
              <w:spacing w:line="360" w:lineRule="exact"/>
              <w:ind w:left="0"/>
              <w:rPr>
                <w:rFonts w:hint="eastAsia" w:ascii="仿宋_GB2312" w:eastAsia="仿宋_GB2312"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4"/>
                <w:lang w:val="en-US" w:eastAsia="zh-CN"/>
              </w:rPr>
              <w:t>5.3政策保障（保障资源匹配、探索改革）</w:t>
            </w:r>
          </w:p>
          <w:p w14:paraId="0E9FC6A0">
            <w:pPr>
              <w:pStyle w:val="3"/>
              <w:spacing w:after="0" w:line="360" w:lineRule="exact"/>
              <w:ind w:left="0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  <w:lang w:val="en-US" w:eastAsia="zh-CN"/>
              </w:rPr>
              <w:t>5.4环境保障（支持交流合作、社会共治）</w:t>
            </w:r>
          </w:p>
        </w:tc>
      </w:tr>
      <w:tr w14:paraId="56B85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521" w:type="dxa"/>
            <w:gridSpan w:val="5"/>
          </w:tcPr>
          <w:p w14:paraId="3465713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rPr>
                <w:rFonts w:hint="eastAsia"/>
                <w:b/>
                <w:bCs/>
                <w:color w:val="000000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Cs w:val="24"/>
              </w:rPr>
              <w:t>商务条款及其他要求</w:t>
            </w:r>
            <w:r>
              <w:rPr>
                <w:b/>
                <w:bCs/>
                <w:color w:val="000000"/>
                <w:szCs w:val="24"/>
              </w:rPr>
              <w:t>：</w:t>
            </w:r>
          </w:p>
        </w:tc>
      </w:tr>
      <w:tr w14:paraId="59D1E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388" w:type="dxa"/>
            <w:gridSpan w:val="2"/>
            <w:vAlign w:val="center"/>
          </w:tcPr>
          <w:p w14:paraId="6981CB3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center"/>
              <w:rPr>
                <w:rFonts w:hint="eastAsia"/>
                <w:b/>
                <w:bCs/>
                <w:color w:val="000000"/>
                <w:sz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</w:rPr>
              <w:t>报价要求</w:t>
            </w:r>
          </w:p>
        </w:tc>
        <w:tc>
          <w:tcPr>
            <w:tcW w:w="6133" w:type="dxa"/>
            <w:gridSpan w:val="3"/>
          </w:tcPr>
          <w:p w14:paraId="3D0A2236">
            <w:pPr>
              <w:spacing w:line="360" w:lineRule="exact"/>
              <w:ind w:left="0"/>
              <w:rPr>
                <w:rFonts w:hint="eastAsia" w:ascii="仿宋_GB2312" w:eastAsia="仿宋_GB2312" w:cs="仿宋_GB2312"/>
                <w:b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Cs w:val="24"/>
                <w:highlight w:val="none"/>
              </w:rPr>
              <w:t>本项目报价采用</w:t>
            </w:r>
            <w:r>
              <w:rPr>
                <w:rFonts w:hint="eastAsia" w:ascii="仿宋_GB2312" w:eastAsia="仿宋_GB2312" w:cs="仿宋_GB2312"/>
                <w:bCs/>
                <w:color w:val="auto"/>
                <w:szCs w:val="24"/>
                <w:highlight w:val="none"/>
                <w:u w:val="single"/>
              </w:rPr>
              <w:t>总价包干</w:t>
            </w:r>
            <w:r>
              <w:rPr>
                <w:rFonts w:hint="eastAsia" w:ascii="仿宋_GB2312" w:eastAsia="仿宋_GB2312" w:cs="仿宋_GB2312"/>
                <w:bCs/>
                <w:color w:val="auto"/>
                <w:szCs w:val="24"/>
                <w:highlight w:val="none"/>
              </w:rPr>
              <w:t>的方式，报价人的报价应包括：工</w:t>
            </w:r>
            <w:r>
              <w:rPr>
                <w:rFonts w:hint="eastAsia" w:ascii="仿宋_GB2312" w:eastAsia="仿宋_GB2312" w:cs="仿宋_GB2312"/>
                <w:bCs/>
                <w:color w:val="000000"/>
                <w:szCs w:val="24"/>
                <w:highlight w:val="none"/>
              </w:rPr>
              <w:t>作人员</w:t>
            </w:r>
            <w:r>
              <w:rPr>
                <w:rFonts w:hint="eastAsia" w:ascii="仿宋_GB2312" w:eastAsia="仿宋_GB2312" w:cs="仿宋_GB2312"/>
                <w:bCs/>
                <w:color w:val="000000"/>
                <w:szCs w:val="24"/>
                <w:highlight w:val="none"/>
                <w:lang w:eastAsia="zh-CN"/>
              </w:rPr>
              <w:t>的报酬</w:t>
            </w:r>
            <w:r>
              <w:rPr>
                <w:rFonts w:hint="eastAsia" w:ascii="仿宋_GB2312" w:eastAsia="仿宋_GB2312" w:cs="仿宋_GB2312"/>
                <w:bCs/>
                <w:color w:val="auto"/>
                <w:szCs w:val="24"/>
                <w:highlight w:val="none"/>
              </w:rPr>
              <w:t>、</w:t>
            </w:r>
            <w:r>
              <w:rPr>
                <w:rFonts w:hint="eastAsia" w:ascii="仿宋_GB2312" w:eastAsia="仿宋_GB2312" w:cs="仿宋_GB2312"/>
                <w:bCs/>
                <w:color w:val="auto"/>
                <w:szCs w:val="24"/>
                <w:highlight w:val="none"/>
                <w:lang w:eastAsia="zh-CN"/>
              </w:rPr>
              <w:t>专家劳务费、调研费用、资料使用费、办公费、</w:t>
            </w:r>
            <w:r>
              <w:rPr>
                <w:rFonts w:hint="eastAsia" w:ascii="仿宋_GB2312" w:eastAsia="仿宋_GB2312" w:cs="仿宋_GB2312"/>
                <w:bCs/>
                <w:color w:val="auto"/>
                <w:szCs w:val="24"/>
                <w:highlight w:val="none"/>
              </w:rPr>
              <w:t>税费、管理费</w:t>
            </w:r>
            <w:r>
              <w:rPr>
                <w:rFonts w:ascii="仿宋_GB2312" w:eastAsia="仿宋_GB2312" w:cs="仿宋_GB2312"/>
                <w:bCs/>
                <w:color w:val="auto"/>
                <w:szCs w:val="24"/>
                <w:highlight w:val="none"/>
              </w:rPr>
              <w:t>、验收费</w:t>
            </w:r>
            <w:r>
              <w:rPr>
                <w:rFonts w:hint="eastAsia" w:ascii="仿宋_GB2312" w:eastAsia="仿宋_GB2312" w:cs="仿宋_GB2312"/>
                <w:bCs/>
                <w:color w:val="auto"/>
                <w:szCs w:val="24"/>
                <w:highlight w:val="none"/>
              </w:rPr>
              <w:t>等一切相关费用。成交人漏报项目或报价中漏报、少报的费用，视为此项费用已包含在报价总价中，成交后不得再向采购人收取任何费用。成交人应充分考虑影响报价的各种因素和风险，采购人不再支付成交金额以外的任何费用。</w:t>
            </w:r>
          </w:p>
        </w:tc>
      </w:tr>
      <w:tr w14:paraId="4F0B8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388" w:type="dxa"/>
            <w:gridSpan w:val="2"/>
            <w:vAlign w:val="center"/>
          </w:tcPr>
          <w:p w14:paraId="3427592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center"/>
              <w:rPr>
                <w:rFonts w:hint="eastAsia"/>
                <w:b/>
                <w:bCs/>
                <w:color w:val="000000"/>
                <w:sz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</w:rPr>
              <w:t>服务期限及地点</w:t>
            </w:r>
          </w:p>
        </w:tc>
        <w:tc>
          <w:tcPr>
            <w:tcW w:w="6133" w:type="dxa"/>
            <w:gridSpan w:val="3"/>
          </w:tcPr>
          <w:p w14:paraId="46BDB24C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contextualSpacing w:val="0"/>
              <w:jc w:val="both"/>
              <w:textAlignment w:val="auto"/>
              <w:rPr>
                <w:rFonts w:ascii="Times New Roman" w:hAnsi="Times New Roman" w:eastAsia="仿宋_GB2312" w:cs="Times New Roman"/>
                <w:vanish w:val="0"/>
                <w:color w:val="FF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vanish w:val="0"/>
                <w:kern w:val="2"/>
                <w:sz w:val="24"/>
                <w:szCs w:val="24"/>
              </w:rPr>
              <w:t>1、服务期限：签订合同之日起至202</w:t>
            </w:r>
            <w:r>
              <w:rPr>
                <w:rFonts w:hint="default" w:ascii="Times New Roman" w:eastAsia="仿宋_GB2312" w:cs="Times New Roman"/>
                <w:vanish w:val="0"/>
                <w:kern w:val="2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eastAsia="仿宋_GB2312" w:cs="Times New Roman"/>
                <w:vanish w:val="0"/>
                <w:kern w:val="2"/>
                <w:sz w:val="24"/>
                <w:szCs w:val="24"/>
              </w:rPr>
              <w:t>年</w:t>
            </w:r>
            <w:r>
              <w:rPr>
                <w:rFonts w:hint="default" w:ascii="Times New Roman" w:eastAsia="仿宋_GB2312" w:cs="Times New Roman"/>
                <w:vanish w:val="0"/>
                <w:kern w:val="2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eastAsia="仿宋_GB2312" w:cs="Times New Roman"/>
                <w:vanish w:val="0"/>
                <w:kern w:val="2"/>
                <w:sz w:val="24"/>
                <w:szCs w:val="24"/>
              </w:rPr>
              <w:t>月3</w:t>
            </w:r>
            <w:r>
              <w:rPr>
                <w:rFonts w:hint="default" w:ascii="Times New Roman" w:eastAsia="仿宋_GB2312" w:cs="Times New Roman"/>
                <w:vanish w:val="0"/>
                <w:kern w:val="2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eastAsia="仿宋_GB2312" w:cs="Times New Roman"/>
                <w:vanish w:val="0"/>
                <w:kern w:val="2"/>
                <w:sz w:val="24"/>
                <w:szCs w:val="24"/>
              </w:rPr>
              <w:t>日止。</w:t>
            </w:r>
          </w:p>
          <w:p w14:paraId="056C702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rPr>
                <w:color w:val="000000"/>
                <w:sz w:val="21"/>
              </w:rPr>
            </w:pPr>
            <w:r>
              <w:rPr>
                <w:rFonts w:ascii="Times New Roman" w:hAnsi="Times New Roman" w:eastAsia="仿宋_GB2312" w:cs="Times New Roman"/>
                <w:vanish w:val="0"/>
                <w:kern w:val="2"/>
                <w:sz w:val="24"/>
                <w:szCs w:val="24"/>
              </w:rPr>
              <w:t>2、交货地点：南宁市指定地点。</w:t>
            </w:r>
          </w:p>
        </w:tc>
      </w:tr>
      <w:tr w14:paraId="6B23E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388" w:type="dxa"/>
            <w:gridSpan w:val="2"/>
            <w:vAlign w:val="center"/>
          </w:tcPr>
          <w:p w14:paraId="1706117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center"/>
              <w:rPr>
                <w:b/>
                <w:bCs/>
                <w:color w:val="000000"/>
                <w:sz w:val="21"/>
              </w:rPr>
            </w:pPr>
            <w:r>
              <w:rPr>
                <w:b/>
                <w:bCs/>
                <w:color w:val="000000"/>
                <w:sz w:val="21"/>
              </w:rPr>
              <w:t>提交成果的具体形式</w:t>
            </w:r>
          </w:p>
        </w:tc>
        <w:tc>
          <w:tcPr>
            <w:tcW w:w="6133" w:type="dxa"/>
            <w:gridSpan w:val="3"/>
            <w:vAlign w:val="center"/>
          </w:tcPr>
          <w:p w14:paraId="028256E6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contextualSpacing w:val="0"/>
              <w:jc w:val="both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vanish w:val="0"/>
                <w:szCs w:val="24"/>
                <w:lang w:eastAsia="zh-CN"/>
              </w:rPr>
              <w:t>1.《广西</w:t>
            </w: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vanish w:val="0"/>
                <w:szCs w:val="24"/>
                <w:vertAlign w:val="baseline"/>
                <w:lang w:eastAsia="zh-CN"/>
              </w:rPr>
              <w:t>药品安全及高质量发展“十五五”规划》1份</w:t>
            </w:r>
            <w:r>
              <w:rPr>
                <w:rFonts w:ascii="仿宋_GB2312" w:eastAsia="仿宋_GB2312" w:cs="仿宋_GB2312"/>
                <w:b w:val="0"/>
                <w:bCs w:val="0"/>
                <w:caps w:val="0"/>
                <w:smallCaps w:val="0"/>
                <w:vanish w:val="0"/>
                <w:szCs w:val="24"/>
                <w:vertAlign w:val="baseline"/>
                <w:lang w:eastAsia="zh-CN"/>
              </w:rPr>
              <w:t>（含编制说明、实施方案）</w:t>
            </w: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vanish w:val="0"/>
                <w:szCs w:val="24"/>
                <w:vertAlign w:val="baseline"/>
                <w:lang w:eastAsia="zh-CN"/>
              </w:rPr>
              <w:t>。</w:t>
            </w:r>
          </w:p>
        </w:tc>
      </w:tr>
      <w:tr w14:paraId="09250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388" w:type="dxa"/>
            <w:gridSpan w:val="2"/>
            <w:vAlign w:val="center"/>
          </w:tcPr>
          <w:p w14:paraId="11A2E9F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center"/>
              <w:rPr>
                <w:rFonts w:hint="eastAsia"/>
                <w:b/>
                <w:bCs/>
                <w:color w:val="000000"/>
                <w:sz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</w:rPr>
              <w:t>付款方式</w:t>
            </w:r>
          </w:p>
        </w:tc>
        <w:tc>
          <w:tcPr>
            <w:tcW w:w="6133" w:type="dxa"/>
            <w:gridSpan w:val="3"/>
          </w:tcPr>
          <w:p w14:paraId="57B5C8B7">
            <w:pPr>
              <w:pStyle w:val="4"/>
              <w:adjustRightInd w:val="0"/>
              <w:snapToGrid w:val="0"/>
              <w:spacing w:line="360" w:lineRule="exact"/>
              <w:ind w:left="0" w:firstLine="0"/>
              <w:rPr>
                <w:rFonts w:hint="eastAsia" w:ascii="仿宋_GB2312" w:eastAsia="仿宋_GB2312" w:cs="FangSong_GB2312"/>
              </w:rPr>
            </w:pPr>
            <w:r>
              <w:rPr>
                <w:rFonts w:hint="eastAsia" w:ascii="仿宋_GB2312" w:eastAsia="仿宋_GB2312" w:cs="FangSong_GB2312"/>
              </w:rPr>
              <w:t>在合同签订后1</w:t>
            </w:r>
            <w:r>
              <w:rPr>
                <w:rFonts w:hint="eastAsia" w:ascii="仿宋_GB2312" w:eastAsia="仿宋_GB2312" w:cs="FangSong_GB2312"/>
                <w:lang w:val="en-US" w:eastAsia="zh-CN"/>
              </w:rPr>
              <w:t>0</w:t>
            </w:r>
            <w:r>
              <w:rPr>
                <w:rFonts w:hint="eastAsia" w:ascii="仿宋_GB2312" w:eastAsia="仿宋_GB2312" w:cs="FangSong_GB2312"/>
              </w:rPr>
              <w:t>个工作日内支付</w:t>
            </w:r>
            <w:r>
              <w:rPr>
                <w:rFonts w:hint="eastAsia" w:ascii="仿宋_GB2312" w:eastAsia="仿宋_GB2312" w:cs="FangSong_GB2312"/>
                <w:lang w:val="en-US" w:eastAsia="zh-CN"/>
              </w:rPr>
              <w:t>服务</w:t>
            </w:r>
            <w:r>
              <w:rPr>
                <w:rFonts w:hint="eastAsia" w:ascii="仿宋_GB2312" w:eastAsia="仿宋_GB2312" w:cs="FangSong_GB2312"/>
              </w:rPr>
              <w:t>费用的</w:t>
            </w:r>
            <w:r>
              <w:rPr>
                <w:rFonts w:hint="eastAsia" w:ascii="仿宋_GB2312" w:eastAsia="仿宋_GB2312" w:cs="FangSong_GB2312"/>
                <w:lang w:val="en-US" w:eastAsia="zh-CN"/>
              </w:rPr>
              <w:t>50%</w:t>
            </w:r>
            <w:r>
              <w:rPr>
                <w:rFonts w:hint="eastAsia" w:ascii="仿宋_GB2312" w:eastAsia="仿宋_GB2312" w:cs="FangSong_GB2312"/>
              </w:rPr>
              <w:t>；提交报告</w:t>
            </w:r>
            <w:r>
              <w:rPr>
                <w:rFonts w:hint="eastAsia" w:ascii="仿宋_GB2312" w:eastAsia="仿宋_GB2312" w:cs="FangSong_GB2312"/>
                <w:lang w:val="en-US" w:eastAsia="zh-CN"/>
              </w:rPr>
              <w:t>初稿</w:t>
            </w:r>
            <w:r>
              <w:rPr>
                <w:rFonts w:hint="eastAsia" w:ascii="仿宋_GB2312" w:eastAsia="仿宋_GB2312" w:cs="FangSong_GB2312"/>
              </w:rPr>
              <w:t>后1</w:t>
            </w:r>
            <w:r>
              <w:rPr>
                <w:rFonts w:hint="eastAsia" w:ascii="仿宋_GB2312" w:eastAsia="仿宋_GB2312" w:cs="FangSong_GB2312"/>
                <w:lang w:val="en-US" w:eastAsia="zh-CN"/>
              </w:rPr>
              <w:t>0</w:t>
            </w:r>
            <w:r>
              <w:rPr>
                <w:rFonts w:hint="eastAsia" w:ascii="仿宋_GB2312" w:eastAsia="仿宋_GB2312" w:cs="FangSong_GB2312"/>
              </w:rPr>
              <w:t>个工作日内支付</w:t>
            </w:r>
            <w:r>
              <w:rPr>
                <w:rFonts w:hint="eastAsia" w:ascii="仿宋_GB2312" w:eastAsia="仿宋_GB2312" w:cs="FangSong_GB2312"/>
                <w:lang w:val="en-US" w:eastAsia="zh-CN"/>
              </w:rPr>
              <w:t>服务</w:t>
            </w:r>
            <w:r>
              <w:rPr>
                <w:rFonts w:hint="eastAsia" w:ascii="仿宋_GB2312" w:eastAsia="仿宋_GB2312" w:cs="FangSong_GB2312"/>
              </w:rPr>
              <w:t>费用的</w:t>
            </w:r>
            <w:r>
              <w:rPr>
                <w:rFonts w:hint="eastAsia" w:ascii="仿宋_GB2312" w:eastAsia="仿宋_GB2312" w:cs="FangSong_GB2312"/>
                <w:lang w:val="en-US" w:eastAsia="zh-CN"/>
              </w:rPr>
              <w:t>25%</w:t>
            </w:r>
            <w:r>
              <w:rPr>
                <w:rFonts w:hint="eastAsia" w:ascii="仿宋_GB2312" w:eastAsia="仿宋_GB2312" w:cs="FangSong_GB2312"/>
                <w:lang w:eastAsia="zh-CN"/>
              </w:rPr>
              <w:t>；</w:t>
            </w:r>
            <w:r>
              <w:rPr>
                <w:rFonts w:hint="eastAsia" w:ascii="仿宋_GB2312" w:eastAsia="仿宋_GB2312" w:cs="FangSong_GB2312"/>
              </w:rPr>
              <w:t>最终报告通过验收后一个月内付清</w:t>
            </w:r>
            <w:r>
              <w:rPr>
                <w:rFonts w:hint="eastAsia" w:ascii="仿宋_GB2312" w:eastAsia="仿宋_GB2312" w:cs="FangSong_GB2312"/>
                <w:lang w:val="en-US" w:eastAsia="zh-CN"/>
              </w:rPr>
              <w:t>服务</w:t>
            </w:r>
            <w:r>
              <w:rPr>
                <w:rFonts w:hint="eastAsia" w:ascii="仿宋_GB2312" w:eastAsia="仿宋_GB2312" w:cs="FangSong_GB2312"/>
              </w:rPr>
              <w:t>费用余</w:t>
            </w:r>
            <w:r>
              <w:rPr>
                <w:rFonts w:hint="eastAsia" w:ascii="仿宋_GB2312" w:eastAsia="仿宋_GB2312" w:cs="FangSong_GB2312"/>
                <w:lang w:val="en-US" w:eastAsia="zh-CN"/>
              </w:rPr>
              <w:t>款25%</w:t>
            </w:r>
            <w:r>
              <w:rPr>
                <w:rFonts w:hint="eastAsia" w:ascii="仿宋_GB2312" w:eastAsia="仿宋_GB2312" w:cs="FangSong_GB2312"/>
              </w:rPr>
              <w:t>。</w:t>
            </w:r>
          </w:p>
        </w:tc>
      </w:tr>
      <w:tr w14:paraId="07FDD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388" w:type="dxa"/>
            <w:gridSpan w:val="2"/>
            <w:vAlign w:val="center"/>
          </w:tcPr>
          <w:p w14:paraId="76865A4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center"/>
              <w:rPr>
                <w:rFonts w:hint="eastAsia"/>
                <w:b/>
                <w:bCs/>
                <w:color w:val="000000"/>
                <w:sz w:val="21"/>
              </w:rPr>
            </w:pPr>
            <w:r>
              <w:rPr>
                <w:b/>
                <w:bCs/>
                <w:color w:val="000000"/>
                <w:sz w:val="21"/>
              </w:rPr>
              <w:t>知识产权</w:t>
            </w:r>
          </w:p>
        </w:tc>
        <w:tc>
          <w:tcPr>
            <w:tcW w:w="6133" w:type="dxa"/>
            <w:gridSpan w:val="3"/>
          </w:tcPr>
          <w:p w14:paraId="3CB4A98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rPr>
                <w:rFonts w:hint="eastAsia" w:ascii="仿宋_GB2312" w:eastAsia="仿宋_GB2312"/>
                <w:color w:val="000000"/>
                <w:szCs w:val="24"/>
              </w:rPr>
            </w:pPr>
            <w:r>
              <w:rPr>
                <w:rFonts w:hint="eastAsia" w:ascii="仿宋_GB2312" w:eastAsia="仿宋_GB2312" w:cs="Times New Roman"/>
                <w:color w:val="auto"/>
                <w:szCs w:val="24"/>
              </w:rPr>
              <w:t>本项目涉及的规划报告</w:t>
            </w:r>
            <w:r>
              <w:rPr>
                <w:rFonts w:hint="eastAsia" w:ascii="仿宋_GB2312" w:eastAsia="仿宋_GB2312" w:cs="Times New Roman"/>
                <w:color w:val="auto"/>
                <w:szCs w:val="24"/>
                <w:lang w:eastAsia="zh-CN"/>
              </w:rPr>
              <w:t>、编制成果</w:t>
            </w:r>
            <w:r>
              <w:rPr>
                <w:rFonts w:hint="eastAsia" w:ascii="仿宋_GB2312" w:eastAsia="仿宋_GB2312" w:cs="Times New Roman"/>
                <w:color w:val="auto"/>
                <w:szCs w:val="24"/>
              </w:rPr>
              <w:t>，成交人不得以任何形式提供给第三方。</w:t>
            </w:r>
          </w:p>
        </w:tc>
      </w:tr>
      <w:tr w14:paraId="4716B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388" w:type="dxa"/>
            <w:gridSpan w:val="2"/>
            <w:vAlign w:val="center"/>
          </w:tcPr>
          <w:p w14:paraId="663BAB7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center"/>
              <w:rPr>
                <w:b/>
                <w:bCs/>
                <w:color w:val="000000"/>
                <w:sz w:val="21"/>
              </w:rPr>
            </w:pPr>
            <w:r>
              <w:rPr>
                <w:b/>
                <w:bCs/>
                <w:color w:val="000000"/>
                <w:sz w:val="21"/>
              </w:rPr>
              <w:t>保密要求</w:t>
            </w:r>
          </w:p>
        </w:tc>
        <w:tc>
          <w:tcPr>
            <w:tcW w:w="6133" w:type="dxa"/>
            <w:gridSpan w:val="3"/>
          </w:tcPr>
          <w:p w14:paraId="4DD8DEC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rPr>
                <w:rFonts w:hint="eastAsia" w:ascii="仿宋_GB2312" w:eastAsia="仿宋_GB2312" w:cs="Times New Roman"/>
                <w:color w:val="auto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成交人有保密的责任和义务，未经采购人许可，不允许向第三方透露。</w:t>
            </w:r>
          </w:p>
        </w:tc>
      </w:tr>
    </w:tbl>
    <w:p w14:paraId="4002A70A">
      <w:pPr>
        <w:pStyle w:val="2"/>
        <w:rPr>
          <w:rFonts w:ascii="仿宋_GB2312" w:eastAsia="仿宋_GB2312"/>
          <w:color w:val="000000"/>
          <w:sz w:val="32"/>
          <w:szCs w:val="32"/>
        </w:rPr>
      </w:pPr>
    </w:p>
    <w:p w14:paraId="2DC0C809"/>
    <w:p w14:paraId="4CDA849A">
      <w:pPr>
        <w:pStyle w:val="2"/>
      </w:pPr>
    </w:p>
    <w:p w14:paraId="794A3B9A">
      <w:pPr>
        <w:spacing w:line="50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附件2：</w:t>
      </w:r>
    </w:p>
    <w:p w14:paraId="62BD9256">
      <w:pPr>
        <w:spacing w:line="500" w:lineRule="exact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              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 xml:space="preserve"> </w:t>
      </w:r>
      <w:r>
        <w:rPr>
          <w:rFonts w:ascii="方正小标宋简体" w:eastAsia="方正小标宋简体"/>
          <w:color w:val="000000"/>
          <w:sz w:val="44"/>
          <w:szCs w:val="44"/>
        </w:rPr>
        <w:t xml:space="preserve">   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报价函</w:t>
      </w:r>
    </w:p>
    <w:p w14:paraId="7576F458">
      <w:pPr>
        <w:spacing w:line="500" w:lineRule="exact"/>
        <w:rPr>
          <w:rFonts w:ascii="仿宋_GB2312" w:eastAsia="仿宋_GB2312"/>
          <w:color w:val="000000"/>
          <w:sz w:val="32"/>
          <w:szCs w:val="32"/>
        </w:rPr>
      </w:pPr>
    </w:p>
    <w:p w14:paraId="36F046DF">
      <w:pPr>
        <w:spacing w:line="560" w:lineRule="exact"/>
        <w:rPr>
          <w:rFonts w:hint="eastAsia" w:asci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eastAsia="仿宋_GB2312" w:cs="仿宋_GB2312"/>
          <w:bCs/>
          <w:kern w:val="0"/>
          <w:sz w:val="32"/>
          <w:szCs w:val="32"/>
        </w:rPr>
        <w:t>广西壮族自治区</w:t>
      </w:r>
      <w:r>
        <w:rPr>
          <w:rFonts w:ascii="仿宋_GB2312" w:eastAsia="仿宋_GB2312" w:cs="仿宋_GB2312"/>
          <w:bCs/>
          <w:kern w:val="0"/>
          <w:sz w:val="32"/>
          <w:szCs w:val="32"/>
          <w:lang w:eastAsia="zh-CN"/>
        </w:rPr>
        <w:t>药品监督管理局</w:t>
      </w:r>
      <w:r>
        <w:rPr>
          <w:rFonts w:hint="eastAsia" w:ascii="仿宋_GB2312" w:eastAsia="仿宋_GB2312" w:cs="仿宋_GB2312"/>
          <w:bCs/>
          <w:kern w:val="0"/>
          <w:sz w:val="32"/>
          <w:szCs w:val="32"/>
        </w:rPr>
        <w:t>：</w:t>
      </w:r>
    </w:p>
    <w:p w14:paraId="37C666C4">
      <w:pPr>
        <w:spacing w:line="560" w:lineRule="exact"/>
        <w:ind w:firstLine="640"/>
        <w:rPr>
          <w:rFonts w:hint="eastAsia" w:ascii="仿宋_GB2312" w:eastAsia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cs="仿宋_GB2312"/>
          <w:bCs/>
          <w:kern w:val="0"/>
          <w:sz w:val="32"/>
          <w:szCs w:val="32"/>
        </w:rPr>
        <w:t>一</w:t>
      </w:r>
      <w:r>
        <w:rPr>
          <w:rFonts w:hint="eastAsia" w:ascii="仿宋_GB2312" w:eastAsia="仿宋_GB2312" w:cs="仿宋_GB2312"/>
          <w:bCs/>
          <w:kern w:val="0"/>
          <w:sz w:val="32"/>
          <w:szCs w:val="32"/>
        </w:rPr>
        <w:t>、本报价人愿意按</w:t>
      </w:r>
      <w:r>
        <w:rPr>
          <w:rFonts w:ascii="仿宋_GB2312" w:eastAsia="仿宋_GB2312" w:cs="仿宋_GB2312"/>
          <w:bCs/>
          <w:kern w:val="0"/>
          <w:sz w:val="32"/>
          <w:szCs w:val="32"/>
        </w:rPr>
        <w:t>比选（询价）</w:t>
      </w:r>
      <w:r>
        <w:rPr>
          <w:rFonts w:hint="eastAsia" w:ascii="仿宋_GB2312" w:eastAsia="仿宋_GB2312" w:cs="仿宋_GB2312"/>
          <w:bCs/>
          <w:kern w:val="0"/>
          <w:sz w:val="32"/>
          <w:szCs w:val="32"/>
        </w:rPr>
        <w:t>文件及有关资料的要求承接</w:t>
      </w:r>
      <w:r>
        <w:rPr>
          <w:rFonts w:hint="eastAsia" w:ascii="仿宋_GB2312" w:eastAsia="仿宋_GB2312"/>
          <w:b w:val="0"/>
          <w:i w:val="0"/>
          <w:iCs w:val="0"/>
          <w:caps w:val="0"/>
          <w:smallCaps w:val="0"/>
          <w:vanish w:val="0"/>
          <w:color w:val="000000"/>
          <w:spacing w:val="0"/>
          <w:kern w:val="36"/>
          <w:sz w:val="32"/>
          <w:szCs w:val="32"/>
        </w:rPr>
        <w:t>××项目</w:t>
      </w:r>
      <w:r>
        <w:rPr>
          <w:rFonts w:hint="eastAsia" w:ascii="仿宋_GB2312" w:eastAsia="仿宋_GB2312" w:cs="仿宋_GB2312"/>
          <w:bCs/>
          <w:kern w:val="0"/>
          <w:sz w:val="32"/>
          <w:szCs w:val="32"/>
        </w:rPr>
        <w:t>。本报价人针对该项目费用的报价为（大写:</w:t>
      </w:r>
      <w:r>
        <w:rPr>
          <w:rFonts w:hint="eastAsia" w:ascii="仿宋_GB2312" w:eastAsia="仿宋_GB2312" w:cs="仿宋_GB2312"/>
          <w:bCs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 w:cs="仿宋_GB2312"/>
          <w:bCs/>
          <w:kern w:val="0"/>
          <w:sz w:val="32"/>
          <w:szCs w:val="32"/>
        </w:rPr>
        <w:t>）（小写：</w:t>
      </w:r>
      <w:r>
        <w:rPr>
          <w:rFonts w:hint="eastAsia" w:ascii="仿宋_GB2312" w:eastAsia="仿宋_GB2312" w:cs="仿宋_GB2312"/>
          <w:bCs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 w:cs="仿宋_GB2312"/>
          <w:bCs/>
          <w:kern w:val="0"/>
          <w:sz w:val="32"/>
          <w:szCs w:val="32"/>
        </w:rPr>
        <w:t>），实际合同费用以本次报价单价和实际数量结算。支付方式按本项目</w:t>
      </w:r>
      <w:r>
        <w:rPr>
          <w:rFonts w:ascii="仿宋_GB2312" w:eastAsia="仿宋_GB2312" w:cs="仿宋_GB2312"/>
          <w:bCs/>
          <w:kern w:val="0"/>
          <w:sz w:val="32"/>
          <w:szCs w:val="32"/>
        </w:rPr>
        <w:t>比</w:t>
      </w:r>
      <w:r>
        <w:rPr>
          <w:rFonts w:hint="eastAsia" w:ascii="仿宋_GB2312" w:eastAsia="仿宋_GB2312" w:cs="仿宋_GB2312"/>
          <w:bCs/>
          <w:kern w:val="0"/>
          <w:sz w:val="32"/>
          <w:szCs w:val="32"/>
        </w:rPr>
        <w:t>价文件和合同书的规定执行。</w:t>
      </w:r>
    </w:p>
    <w:p w14:paraId="5E8A4846">
      <w:pPr>
        <w:spacing w:line="560" w:lineRule="exact"/>
        <w:ind w:firstLine="640"/>
        <w:rPr>
          <w:rFonts w:hint="eastAsia" w:asci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eastAsia="仿宋_GB2312" w:cs="仿宋_GB2312"/>
          <w:bCs/>
          <w:kern w:val="0"/>
          <w:sz w:val="32"/>
          <w:szCs w:val="32"/>
        </w:rPr>
        <w:t>二、报价人承诺按</w:t>
      </w:r>
      <w:r>
        <w:rPr>
          <w:rFonts w:ascii="仿宋_GB2312" w:eastAsia="仿宋_GB2312" w:cs="仿宋_GB2312"/>
          <w:bCs/>
          <w:kern w:val="0"/>
          <w:sz w:val="32"/>
          <w:szCs w:val="32"/>
        </w:rPr>
        <w:t>比</w:t>
      </w:r>
      <w:r>
        <w:rPr>
          <w:rFonts w:hint="eastAsia" w:ascii="仿宋_GB2312" w:eastAsia="仿宋_GB2312" w:cs="仿宋_GB2312"/>
          <w:bCs/>
          <w:kern w:val="0"/>
          <w:sz w:val="32"/>
          <w:szCs w:val="32"/>
        </w:rPr>
        <w:t>价文件及有关资料的要求完成本项目的工作任务。</w:t>
      </w:r>
    </w:p>
    <w:p w14:paraId="5C5F9A25">
      <w:pPr>
        <w:spacing w:line="560" w:lineRule="exact"/>
        <w:ind w:firstLine="640"/>
        <w:rPr>
          <w:rFonts w:hint="eastAsia" w:asci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eastAsia="仿宋_GB2312" w:cs="仿宋_GB2312"/>
          <w:bCs/>
          <w:kern w:val="0"/>
          <w:sz w:val="32"/>
          <w:szCs w:val="32"/>
        </w:rPr>
        <w:t>三、本报价人所递交的报价文件在</w:t>
      </w:r>
      <w:r>
        <w:rPr>
          <w:rFonts w:ascii="仿宋_GB2312" w:eastAsia="仿宋_GB2312" w:cs="仿宋_GB2312"/>
          <w:bCs/>
          <w:kern w:val="0"/>
          <w:sz w:val="32"/>
          <w:szCs w:val="32"/>
        </w:rPr>
        <w:t>比</w:t>
      </w:r>
      <w:r>
        <w:rPr>
          <w:rFonts w:hint="eastAsia" w:ascii="仿宋_GB2312" w:eastAsia="仿宋_GB2312" w:cs="仿宋_GB2312"/>
          <w:bCs/>
          <w:kern w:val="0"/>
          <w:sz w:val="32"/>
          <w:szCs w:val="32"/>
        </w:rPr>
        <w:t>价文件规定的报价有效期限内有效，本报价人如中选，将受</w:t>
      </w:r>
      <w:r>
        <w:rPr>
          <w:rFonts w:ascii="仿宋_GB2312" w:eastAsia="仿宋_GB2312" w:cs="仿宋_GB2312"/>
          <w:bCs/>
          <w:kern w:val="0"/>
          <w:sz w:val="32"/>
          <w:szCs w:val="32"/>
        </w:rPr>
        <w:t>比</w:t>
      </w:r>
      <w:r>
        <w:rPr>
          <w:rFonts w:hint="eastAsia" w:ascii="仿宋_GB2312" w:eastAsia="仿宋_GB2312" w:cs="仿宋_GB2312"/>
          <w:bCs/>
          <w:kern w:val="0"/>
          <w:sz w:val="32"/>
          <w:szCs w:val="32"/>
        </w:rPr>
        <w:t>价文件的约束。</w:t>
      </w:r>
    </w:p>
    <w:p w14:paraId="403FF6D3">
      <w:pPr>
        <w:spacing w:line="560" w:lineRule="exact"/>
        <w:ind w:firstLine="640"/>
        <w:rPr>
          <w:rFonts w:hint="eastAsia" w:ascii="仿宋_GB2312" w:eastAsia="仿宋_GB2312" w:cs="仿宋_GB2312"/>
          <w:bCs/>
          <w:kern w:val="0"/>
          <w:sz w:val="32"/>
          <w:szCs w:val="32"/>
        </w:rPr>
      </w:pPr>
    </w:p>
    <w:p w14:paraId="2CED5001">
      <w:pPr>
        <w:spacing w:line="560" w:lineRule="exact"/>
        <w:ind w:firstLine="640"/>
        <w:rPr>
          <w:rFonts w:hint="eastAsia" w:ascii="仿宋_GB2312" w:eastAsia="仿宋_GB2312" w:cs="仿宋_GB2312"/>
          <w:bCs/>
          <w:kern w:val="0"/>
          <w:sz w:val="32"/>
          <w:szCs w:val="32"/>
        </w:rPr>
      </w:pPr>
    </w:p>
    <w:p w14:paraId="2E545EC6">
      <w:pPr>
        <w:spacing w:line="560" w:lineRule="exact"/>
        <w:ind w:firstLine="640"/>
        <w:rPr>
          <w:rFonts w:hint="eastAsia" w:asci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eastAsia="仿宋_GB2312" w:cs="仿宋_GB2312"/>
          <w:bCs/>
          <w:kern w:val="0"/>
          <w:sz w:val="32"/>
          <w:szCs w:val="32"/>
        </w:rPr>
        <w:t>报  价  人（公章）：</w:t>
      </w:r>
    </w:p>
    <w:p w14:paraId="59F964F3">
      <w:pPr>
        <w:spacing w:line="560" w:lineRule="exact"/>
        <w:ind w:firstLine="640"/>
        <w:rPr>
          <w:rFonts w:asci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eastAsia="仿宋_GB2312" w:cs="仿宋_GB2312"/>
          <w:bCs/>
          <w:kern w:val="0"/>
          <w:sz w:val="32"/>
          <w:szCs w:val="32"/>
        </w:rPr>
        <w:t>法定代表人或委托代理人（签字或签章）：</w:t>
      </w:r>
    </w:p>
    <w:p w14:paraId="7516C277">
      <w:pPr>
        <w:spacing w:line="560" w:lineRule="exact"/>
        <w:ind w:firstLine="640"/>
        <w:rPr>
          <w:rFonts w:hint="eastAsia" w:ascii="仿宋_GB2312" w:eastAsia="仿宋_GB2312" w:cs="仿宋_GB2312"/>
          <w:bCs/>
          <w:kern w:val="0"/>
          <w:sz w:val="32"/>
          <w:szCs w:val="32"/>
        </w:rPr>
      </w:pPr>
    </w:p>
    <w:p w14:paraId="0EB110D7">
      <w:pPr>
        <w:tabs>
          <w:tab w:val="left" w:pos="7560"/>
        </w:tabs>
        <w:spacing w:line="560" w:lineRule="exact"/>
        <w:ind w:firstLine="4838"/>
        <w:rPr>
          <w:rFonts w:asci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eastAsia="仿宋_GB2312" w:cs="仿宋_GB2312"/>
          <w:bCs/>
          <w:kern w:val="0"/>
          <w:sz w:val="32"/>
          <w:szCs w:val="32"/>
        </w:rPr>
        <w:t>年   月   日</w:t>
      </w:r>
    </w:p>
    <w:p w14:paraId="4D6EAB59">
      <w:pPr>
        <w:tabs>
          <w:tab w:val="left" w:pos="7560"/>
        </w:tabs>
        <w:spacing w:line="560" w:lineRule="exact"/>
        <w:ind w:firstLine="4838"/>
        <w:rPr>
          <w:rFonts w:ascii="仿宋_GB2312" w:eastAsia="仿宋_GB2312" w:cs="仿宋_GB2312"/>
          <w:bCs/>
          <w:kern w:val="0"/>
          <w:sz w:val="32"/>
          <w:szCs w:val="32"/>
        </w:rPr>
      </w:pPr>
    </w:p>
    <w:p w14:paraId="65DCFBBA">
      <w:pPr>
        <w:tabs>
          <w:tab w:val="left" w:pos="7560"/>
        </w:tabs>
        <w:spacing w:line="560" w:lineRule="exact"/>
        <w:ind w:firstLine="4838"/>
        <w:rPr>
          <w:rFonts w:ascii="仿宋_GB2312" w:eastAsia="仿宋_GB2312" w:cs="仿宋_GB2312"/>
          <w:bCs/>
          <w:kern w:val="0"/>
          <w:sz w:val="32"/>
          <w:szCs w:val="32"/>
        </w:rPr>
      </w:pPr>
    </w:p>
    <w:p w14:paraId="22970B76">
      <w:pPr>
        <w:tabs>
          <w:tab w:val="left" w:pos="7560"/>
        </w:tabs>
        <w:spacing w:line="560" w:lineRule="exact"/>
        <w:ind w:firstLine="4838"/>
        <w:rPr>
          <w:rFonts w:ascii="仿宋_GB2312" w:eastAsia="仿宋_GB2312" w:cs="仿宋_GB2312"/>
          <w:bCs/>
          <w:kern w:val="0"/>
          <w:sz w:val="32"/>
          <w:szCs w:val="32"/>
        </w:rPr>
      </w:pPr>
    </w:p>
    <w:p w14:paraId="71CA7EA2">
      <w:pPr>
        <w:tabs>
          <w:tab w:val="left" w:pos="7560"/>
        </w:tabs>
        <w:spacing w:line="560" w:lineRule="exact"/>
        <w:ind w:firstLine="4838"/>
        <w:rPr>
          <w:rFonts w:ascii="仿宋_GB2312" w:eastAsia="仿宋_GB2312" w:cs="仿宋_GB2312"/>
          <w:bCs/>
          <w:kern w:val="0"/>
          <w:sz w:val="32"/>
          <w:szCs w:val="32"/>
        </w:rPr>
      </w:pPr>
    </w:p>
    <w:p w14:paraId="574A63F3">
      <w:pPr>
        <w:pStyle w:val="2"/>
      </w:pPr>
    </w:p>
    <w:p w14:paraId="5CFD26EC">
      <w:pPr>
        <w:jc w:val="both"/>
        <w:rPr>
          <w:rFonts w:hint="eastAsia" w:ascii="仿宋_GB2312" w:eastAsia="仿宋_GB2312" w:cs="方正小标宋简体"/>
          <w:bCs/>
          <w:kern w:val="0"/>
          <w:sz w:val="32"/>
          <w:szCs w:val="32"/>
        </w:rPr>
      </w:pPr>
      <w:r>
        <w:rPr>
          <w:rFonts w:hint="eastAsia" w:ascii="仿宋_GB2312" w:eastAsia="仿宋_GB2312" w:cs="方正小标宋简体"/>
          <w:bCs/>
          <w:kern w:val="0"/>
          <w:sz w:val="32"/>
          <w:szCs w:val="32"/>
        </w:rPr>
        <w:t>附件</w:t>
      </w:r>
      <w:r>
        <w:rPr>
          <w:rFonts w:ascii="仿宋_GB2312" w:eastAsia="仿宋_GB2312" w:cs="方正小标宋简体"/>
          <w:bCs/>
          <w:kern w:val="0"/>
          <w:sz w:val="32"/>
          <w:szCs w:val="32"/>
        </w:rPr>
        <w:t>3</w:t>
      </w:r>
      <w:r>
        <w:rPr>
          <w:rFonts w:hint="eastAsia" w:ascii="仿宋_GB2312" w:eastAsia="仿宋_GB2312" w:cs="方正小标宋简体"/>
          <w:bCs/>
          <w:kern w:val="0"/>
          <w:sz w:val="32"/>
          <w:szCs w:val="32"/>
        </w:rPr>
        <w:t>：</w:t>
      </w:r>
    </w:p>
    <w:p w14:paraId="4F1AAE0F">
      <w:pPr>
        <w:ind w:firstLine="3520" w:firstLineChars="800"/>
        <w:jc w:val="both"/>
        <w:rPr>
          <w:rFonts w:hint="eastAsia" w:ascii="方正小标宋简体" w:eastAsia="方正小标宋简体" w:cs="方正小标宋简体"/>
          <w:bCs/>
          <w:kern w:val="0"/>
          <w:sz w:val="44"/>
          <w:szCs w:val="44"/>
          <w:lang w:eastAsia="zh-CN"/>
        </w:rPr>
      </w:pPr>
      <w:r>
        <w:rPr>
          <w:rFonts w:hint="eastAsia" w:ascii="方正小标宋简体" w:eastAsia="方正小标宋简体" w:cs="方正小标宋简体"/>
          <w:bCs/>
          <w:kern w:val="0"/>
          <w:sz w:val="44"/>
          <w:szCs w:val="44"/>
        </w:rPr>
        <w:t>报价</w:t>
      </w:r>
      <w:r>
        <w:rPr>
          <w:rFonts w:hint="eastAsia" w:ascii="方正小标宋简体" w:eastAsia="方正小标宋简体" w:cs="方正小标宋简体"/>
          <w:bCs/>
          <w:kern w:val="0"/>
          <w:sz w:val="44"/>
          <w:szCs w:val="44"/>
          <w:lang w:eastAsia="zh-CN"/>
        </w:rPr>
        <w:t>表</w:t>
      </w:r>
    </w:p>
    <w:p w14:paraId="47C62A7D">
      <w:pPr>
        <w:spacing w:line="580" w:lineRule="exact"/>
        <w:jc w:val="center"/>
        <w:rPr>
          <w:rFonts w:hint="eastAsia" w:ascii="方正小标宋简体" w:eastAsia="方正小标宋简体" w:cs="方正小标宋简体"/>
          <w:bCs/>
          <w:kern w:val="0"/>
          <w:sz w:val="44"/>
          <w:szCs w:val="44"/>
        </w:rPr>
      </w:pPr>
    </w:p>
    <w:tbl>
      <w:tblPr>
        <w:tblStyle w:val="8"/>
        <w:tblW w:w="9480" w:type="dxa"/>
        <w:tblInd w:w="-2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516"/>
        <w:gridCol w:w="3044"/>
        <w:gridCol w:w="1065"/>
        <w:gridCol w:w="855"/>
        <w:gridCol w:w="1680"/>
        <w:gridCol w:w="600"/>
      </w:tblGrid>
      <w:tr w14:paraId="700ED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" w:hRule="atLeast"/>
        </w:trPr>
        <w:tc>
          <w:tcPr>
            <w:tcW w:w="720" w:type="dxa"/>
            <w:noWrap/>
            <w:vAlign w:val="center"/>
          </w:tcPr>
          <w:p w14:paraId="2E8CDF4E">
            <w:pPr>
              <w:widowControl w:val="0"/>
              <w:jc w:val="center"/>
              <w:rPr>
                <w:rFonts w:hint="eastAsia" w:ascii="宋体" w:eastAsia="宋体" w:cs="Times New Roman"/>
                <w:b/>
                <w:bCs/>
                <w:color w:val="auto"/>
                <w:spacing w:val="-2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eastAsia="宋体" w:cs="Times New Roman"/>
                <w:b/>
                <w:bCs/>
                <w:color w:val="auto"/>
                <w:spacing w:val="-20"/>
                <w:kern w:val="0"/>
                <w:sz w:val="24"/>
                <w:szCs w:val="24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1516" w:type="dxa"/>
            <w:noWrap/>
            <w:vAlign w:val="center"/>
          </w:tcPr>
          <w:p w14:paraId="1455D5A4">
            <w:pPr>
              <w:widowControl w:val="0"/>
              <w:jc w:val="center"/>
              <w:rPr>
                <w:rFonts w:ascii="宋体" w:hAnsi="宋体" w:eastAsia="Arial" w:cs="Times New Roman"/>
                <w:b/>
                <w:bCs/>
                <w:color w:val="auto"/>
                <w:spacing w:val="-2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Arial" w:cs="Times New Roman"/>
                <w:b/>
                <w:bCs/>
                <w:color w:val="auto"/>
                <w:spacing w:val="-20"/>
                <w:kern w:val="0"/>
                <w:sz w:val="24"/>
                <w:szCs w:val="24"/>
                <w:highlight w:val="none"/>
                <w:lang w:val="en-US" w:eastAsia="zh-CN" w:bidi="ar-SA"/>
              </w:rPr>
              <w:t>服务</w:t>
            </w:r>
            <w:r>
              <w:rPr>
                <w:rFonts w:ascii="宋体" w:eastAsia="宋体" w:cs="Times New Roman"/>
                <w:b/>
                <w:bCs/>
                <w:color w:val="auto"/>
                <w:spacing w:val="-20"/>
                <w:kern w:val="0"/>
                <w:sz w:val="24"/>
                <w:szCs w:val="24"/>
                <w:highlight w:val="none"/>
                <w:lang w:val="en-US" w:eastAsia="zh-CN" w:bidi="ar-SA"/>
              </w:rPr>
              <w:t>（货物）</w:t>
            </w:r>
            <w:r>
              <w:rPr>
                <w:rFonts w:hint="eastAsia" w:ascii="宋体" w:hAnsi="宋体" w:eastAsia="Arial" w:cs="Times New Roman"/>
                <w:b/>
                <w:bCs/>
                <w:color w:val="auto"/>
                <w:spacing w:val="-20"/>
                <w:kern w:val="0"/>
                <w:sz w:val="24"/>
                <w:szCs w:val="24"/>
                <w:highlight w:val="none"/>
                <w:lang w:val="en-US" w:eastAsia="zh-CN" w:bidi="ar-SA"/>
              </w:rPr>
              <w:t>名称</w:t>
            </w:r>
          </w:p>
        </w:tc>
        <w:tc>
          <w:tcPr>
            <w:tcW w:w="3044" w:type="dxa"/>
            <w:noWrap/>
            <w:vAlign w:val="center"/>
          </w:tcPr>
          <w:p w14:paraId="2068B52B">
            <w:pPr>
              <w:widowControl w:val="0"/>
              <w:jc w:val="center"/>
              <w:rPr>
                <w:rFonts w:ascii="宋体" w:hAnsi="宋体" w:eastAsia="Arial" w:cs="Times New Roman"/>
                <w:b/>
                <w:bCs/>
                <w:color w:val="auto"/>
                <w:spacing w:val="-2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Arial" w:cs="Times New Roman"/>
                <w:b/>
                <w:bCs/>
                <w:color w:val="auto"/>
                <w:spacing w:val="-20"/>
                <w:kern w:val="0"/>
                <w:sz w:val="24"/>
                <w:szCs w:val="24"/>
                <w:highlight w:val="none"/>
                <w:lang w:val="en-US" w:eastAsia="zh-CN" w:bidi="ar-SA"/>
              </w:rPr>
              <w:t>内容和要求</w:t>
            </w:r>
          </w:p>
        </w:tc>
        <w:tc>
          <w:tcPr>
            <w:tcW w:w="1065" w:type="dxa"/>
            <w:noWrap/>
            <w:vAlign w:val="center"/>
          </w:tcPr>
          <w:p w14:paraId="4B1BF86F">
            <w:pPr>
              <w:widowControl w:val="0"/>
              <w:jc w:val="center"/>
              <w:rPr>
                <w:rFonts w:ascii="宋体" w:hAnsi="宋体" w:eastAsia="Arial" w:cs="Times New Roman"/>
                <w:b/>
                <w:bCs/>
                <w:color w:val="auto"/>
                <w:spacing w:val="-2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Arial" w:cs="Times New Roman"/>
                <w:b/>
                <w:bCs/>
                <w:color w:val="auto"/>
                <w:spacing w:val="-20"/>
                <w:kern w:val="0"/>
                <w:sz w:val="24"/>
                <w:szCs w:val="24"/>
                <w:highlight w:val="none"/>
                <w:lang w:val="en-US" w:eastAsia="zh-CN" w:bidi="ar-SA"/>
              </w:rPr>
              <w:t>数量</w:t>
            </w:r>
          </w:p>
          <w:p w14:paraId="2088D496">
            <w:pPr>
              <w:widowControl w:val="0"/>
              <w:jc w:val="center"/>
              <w:rPr>
                <w:rFonts w:ascii="宋体" w:hAnsi="宋体" w:eastAsia="Arial" w:cs="Times New Roman"/>
                <w:b/>
                <w:bCs/>
                <w:color w:val="auto"/>
                <w:spacing w:val="-2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Arial" w:cs="Times New Roman"/>
                <w:b/>
                <w:bCs/>
                <w:color w:val="auto"/>
                <w:spacing w:val="-20"/>
                <w:kern w:val="0"/>
                <w:sz w:val="24"/>
                <w:szCs w:val="24"/>
                <w:highlight w:val="none"/>
                <w:lang w:val="en-US" w:eastAsia="zh-CN" w:bidi="ar-SA"/>
              </w:rPr>
              <w:t>①</w:t>
            </w:r>
          </w:p>
        </w:tc>
        <w:tc>
          <w:tcPr>
            <w:tcW w:w="855" w:type="dxa"/>
            <w:noWrap/>
            <w:vAlign w:val="center"/>
          </w:tcPr>
          <w:p w14:paraId="37B50602">
            <w:pPr>
              <w:widowControl w:val="0"/>
              <w:jc w:val="center"/>
              <w:rPr>
                <w:rFonts w:ascii="宋体" w:hAnsi="宋体" w:eastAsia="Arial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Arial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单价</w:t>
            </w:r>
            <w:r>
              <w:rPr>
                <w:rFonts w:ascii="宋体" w:hAnsi="宋体" w:eastAsia="Arial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(</w:t>
            </w:r>
            <w:r>
              <w:rPr>
                <w:rFonts w:hint="eastAsia" w:ascii="宋体" w:hAnsi="宋体" w:eastAsia="Arial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元</w:t>
            </w:r>
            <w:r>
              <w:rPr>
                <w:rFonts w:ascii="宋体" w:hAnsi="宋体" w:eastAsia="Arial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)</w:t>
            </w:r>
          </w:p>
          <w:p w14:paraId="02AD0822">
            <w:pPr>
              <w:widowControl w:val="0"/>
              <w:jc w:val="center"/>
              <w:rPr>
                <w:rFonts w:ascii="宋体" w:hAnsi="宋体" w:eastAsia="Arial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Arial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②</w:t>
            </w:r>
          </w:p>
        </w:tc>
        <w:tc>
          <w:tcPr>
            <w:tcW w:w="1680" w:type="dxa"/>
            <w:noWrap/>
            <w:vAlign w:val="center"/>
          </w:tcPr>
          <w:p w14:paraId="3FE86975">
            <w:pPr>
              <w:widowControl w:val="0"/>
              <w:jc w:val="center"/>
              <w:rPr>
                <w:rFonts w:ascii="宋体" w:hAnsi="宋体" w:eastAsia="Arial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Arial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单项合价（元）</w:t>
            </w:r>
          </w:p>
          <w:p w14:paraId="1A79C694">
            <w:pPr>
              <w:widowControl w:val="0"/>
              <w:jc w:val="center"/>
              <w:rPr>
                <w:rFonts w:ascii="宋体" w:hAnsi="宋体" w:eastAsia="Arial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Arial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③＝①×②</w:t>
            </w:r>
          </w:p>
        </w:tc>
        <w:tc>
          <w:tcPr>
            <w:tcW w:w="600" w:type="dxa"/>
            <w:noWrap/>
            <w:vAlign w:val="center"/>
          </w:tcPr>
          <w:p w14:paraId="0A02BD3F">
            <w:pPr>
              <w:widowControl w:val="0"/>
              <w:jc w:val="center"/>
              <w:rPr>
                <w:rFonts w:ascii="宋体" w:hAnsi="宋体" w:eastAsia="Arial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Arial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备注</w:t>
            </w:r>
          </w:p>
        </w:tc>
      </w:tr>
      <w:tr w14:paraId="2440D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720" w:type="dxa"/>
            <w:noWrap/>
            <w:vAlign w:val="center"/>
          </w:tcPr>
          <w:p w14:paraId="69B960E8">
            <w:pPr>
              <w:jc w:val="center"/>
              <w:rPr>
                <w:rFonts w:ascii="宋体" w:hAnsi="宋体" w:eastAsia="Arial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宋体" w:hAnsi="宋体" w:eastAsia="Arial" w:cs="Times New Roman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516" w:type="dxa"/>
            <w:noWrap/>
            <w:vAlign w:val="center"/>
          </w:tcPr>
          <w:p w14:paraId="33B225ED">
            <w:pPr>
              <w:jc w:val="center"/>
              <w:rPr>
                <w:rFonts w:ascii="宋体" w:hAnsi="宋体" w:eastAsia="Arial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044" w:type="dxa"/>
            <w:noWrap/>
            <w:vAlign w:val="center"/>
          </w:tcPr>
          <w:p w14:paraId="3D7E5DD2">
            <w:pPr>
              <w:widowControl w:val="0"/>
              <w:jc w:val="both"/>
              <w:rPr>
                <w:rFonts w:ascii="宋体" w:hAnsi="宋体" w:eastAsia="Arial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65" w:type="dxa"/>
            <w:noWrap/>
            <w:vAlign w:val="center"/>
          </w:tcPr>
          <w:p w14:paraId="0557025A">
            <w:pPr>
              <w:widowControl w:val="0"/>
              <w:jc w:val="both"/>
              <w:rPr>
                <w:rFonts w:ascii="宋体" w:hAnsi="宋体" w:eastAsia="Arial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5" w:type="dxa"/>
            <w:noWrap/>
            <w:vAlign w:val="center"/>
          </w:tcPr>
          <w:p w14:paraId="29566231">
            <w:pPr>
              <w:widowControl w:val="0"/>
              <w:jc w:val="both"/>
              <w:rPr>
                <w:rFonts w:ascii="宋体" w:hAnsi="宋体" w:eastAsia="Arial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80" w:type="dxa"/>
            <w:noWrap/>
            <w:vAlign w:val="center"/>
          </w:tcPr>
          <w:p w14:paraId="09FCFB44">
            <w:pPr>
              <w:widowControl w:val="0"/>
              <w:jc w:val="both"/>
              <w:rPr>
                <w:rFonts w:ascii="宋体" w:hAnsi="宋体" w:eastAsia="Arial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00" w:type="dxa"/>
            <w:noWrap/>
            <w:vAlign w:val="center"/>
          </w:tcPr>
          <w:p w14:paraId="107DE5AB">
            <w:pPr>
              <w:widowControl w:val="0"/>
              <w:jc w:val="both"/>
              <w:rPr>
                <w:rFonts w:ascii="宋体" w:hAnsi="宋体" w:eastAsia="Arial" w:cs="Times New Roman"/>
                <w:color w:val="auto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0B59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720" w:type="dxa"/>
            <w:noWrap/>
            <w:vAlign w:val="center"/>
          </w:tcPr>
          <w:p w14:paraId="0E047347">
            <w:pPr>
              <w:jc w:val="center"/>
              <w:rPr>
                <w:rFonts w:ascii="宋体" w:hAnsi="宋体" w:eastAsia="Arial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宋体" w:hAnsi="宋体" w:eastAsia="Arial" w:cs="Times New Roman"/>
                <w:color w:val="auto"/>
                <w:kern w:val="0"/>
                <w:sz w:val="24"/>
                <w:highlight w:val="none"/>
              </w:rPr>
              <w:t>2</w:t>
            </w:r>
          </w:p>
        </w:tc>
        <w:tc>
          <w:tcPr>
            <w:tcW w:w="1516" w:type="dxa"/>
            <w:noWrap/>
            <w:vAlign w:val="center"/>
          </w:tcPr>
          <w:p w14:paraId="20959411">
            <w:pPr>
              <w:jc w:val="center"/>
              <w:rPr>
                <w:rFonts w:ascii="宋体" w:hAnsi="宋体" w:eastAsia="Arial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044" w:type="dxa"/>
            <w:noWrap/>
            <w:vAlign w:val="center"/>
          </w:tcPr>
          <w:p w14:paraId="6C676C49">
            <w:pPr>
              <w:widowControl w:val="0"/>
              <w:jc w:val="both"/>
              <w:rPr>
                <w:rFonts w:ascii="宋体" w:hAnsi="宋体" w:eastAsia="Arial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65" w:type="dxa"/>
            <w:noWrap/>
            <w:vAlign w:val="center"/>
          </w:tcPr>
          <w:p w14:paraId="17454BA2">
            <w:pPr>
              <w:widowControl w:val="0"/>
              <w:jc w:val="both"/>
              <w:rPr>
                <w:rFonts w:ascii="宋体" w:hAnsi="宋体" w:eastAsia="Arial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5" w:type="dxa"/>
            <w:noWrap/>
            <w:vAlign w:val="center"/>
          </w:tcPr>
          <w:p w14:paraId="05F07F38">
            <w:pPr>
              <w:widowControl w:val="0"/>
              <w:jc w:val="both"/>
              <w:rPr>
                <w:rFonts w:ascii="宋体" w:hAnsi="宋体" w:eastAsia="Arial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80" w:type="dxa"/>
            <w:noWrap/>
            <w:vAlign w:val="center"/>
          </w:tcPr>
          <w:p w14:paraId="7DF5E621">
            <w:pPr>
              <w:widowControl w:val="0"/>
              <w:jc w:val="both"/>
              <w:rPr>
                <w:rFonts w:ascii="宋体" w:hAnsi="宋体" w:eastAsia="Arial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00" w:type="dxa"/>
            <w:noWrap/>
            <w:vAlign w:val="center"/>
          </w:tcPr>
          <w:p w14:paraId="420641B3">
            <w:pPr>
              <w:widowControl w:val="0"/>
              <w:jc w:val="both"/>
              <w:rPr>
                <w:rFonts w:ascii="宋体" w:hAnsi="宋体" w:eastAsia="Arial" w:cs="Times New Roman"/>
                <w:color w:val="auto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A807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720" w:type="dxa"/>
            <w:noWrap/>
            <w:vAlign w:val="center"/>
          </w:tcPr>
          <w:p w14:paraId="2E0ACBC5">
            <w:pPr>
              <w:jc w:val="center"/>
              <w:rPr>
                <w:rFonts w:ascii="宋体" w:hAnsi="宋体" w:eastAsia="Arial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Arial" w:cs="Times New Roman"/>
                <w:color w:val="auto"/>
                <w:kern w:val="0"/>
                <w:sz w:val="24"/>
                <w:highlight w:val="none"/>
              </w:rPr>
              <w:t>…</w:t>
            </w:r>
          </w:p>
        </w:tc>
        <w:tc>
          <w:tcPr>
            <w:tcW w:w="1516" w:type="dxa"/>
            <w:noWrap/>
            <w:vAlign w:val="center"/>
          </w:tcPr>
          <w:p w14:paraId="127EBB4F">
            <w:pPr>
              <w:jc w:val="center"/>
              <w:rPr>
                <w:rFonts w:ascii="宋体" w:hAnsi="宋体" w:eastAsia="Arial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044" w:type="dxa"/>
            <w:noWrap/>
            <w:vAlign w:val="center"/>
          </w:tcPr>
          <w:p w14:paraId="195F0F74">
            <w:pPr>
              <w:widowControl w:val="0"/>
              <w:jc w:val="both"/>
              <w:rPr>
                <w:rFonts w:ascii="宋体" w:hAnsi="宋体" w:eastAsia="Arial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65" w:type="dxa"/>
            <w:noWrap/>
            <w:vAlign w:val="center"/>
          </w:tcPr>
          <w:p w14:paraId="2ED635FD">
            <w:pPr>
              <w:widowControl w:val="0"/>
              <w:jc w:val="both"/>
              <w:rPr>
                <w:rFonts w:ascii="宋体" w:hAnsi="宋体" w:eastAsia="Arial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5" w:type="dxa"/>
            <w:noWrap/>
            <w:vAlign w:val="center"/>
          </w:tcPr>
          <w:p w14:paraId="47C2C912">
            <w:pPr>
              <w:widowControl w:val="0"/>
              <w:jc w:val="both"/>
              <w:rPr>
                <w:rFonts w:ascii="宋体" w:hAnsi="宋体" w:eastAsia="Arial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80" w:type="dxa"/>
            <w:noWrap/>
            <w:vAlign w:val="center"/>
          </w:tcPr>
          <w:p w14:paraId="19411DE0">
            <w:pPr>
              <w:widowControl w:val="0"/>
              <w:jc w:val="both"/>
              <w:rPr>
                <w:rFonts w:ascii="宋体" w:hAnsi="宋体" w:eastAsia="Arial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00" w:type="dxa"/>
            <w:noWrap/>
            <w:vAlign w:val="center"/>
          </w:tcPr>
          <w:p w14:paraId="0AA09E38">
            <w:pPr>
              <w:widowControl w:val="0"/>
              <w:jc w:val="both"/>
              <w:rPr>
                <w:rFonts w:ascii="宋体" w:hAnsi="宋体" w:eastAsia="Arial" w:cs="Times New Roman"/>
                <w:color w:val="auto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E2D7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9480" w:type="dxa"/>
            <w:gridSpan w:val="7"/>
            <w:noWrap/>
            <w:vAlign w:val="center"/>
          </w:tcPr>
          <w:p w14:paraId="53EC8363">
            <w:pPr>
              <w:widowControl w:val="0"/>
              <w:jc w:val="both"/>
              <w:rPr>
                <w:rFonts w:hint="eastAsia" w:ascii="仿宋_GB2312" w:eastAsia="仿宋_GB2312" w:cs="Times New Roman"/>
                <w:color w:val="auto"/>
                <w:spacing w:val="-6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报价合计（包含税费等所有费用）：（大写）人民币      （￥        元）</w:t>
            </w:r>
          </w:p>
        </w:tc>
      </w:tr>
      <w:tr w14:paraId="7FC2E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480" w:type="dxa"/>
            <w:gridSpan w:val="7"/>
            <w:noWrap/>
            <w:vAlign w:val="center"/>
          </w:tcPr>
          <w:p w14:paraId="35852476">
            <w:pPr>
              <w:widowControl w:val="0"/>
              <w:jc w:val="left"/>
              <w:rPr>
                <w:rFonts w:hint="eastAsia" w:ascii="仿宋_GB2312" w:eastAsia="仿宋_GB2312" w:cs="Times New Roman"/>
                <w:color w:val="auto"/>
                <w:spacing w:val="-6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报价人（公章）：</w:t>
            </w:r>
          </w:p>
        </w:tc>
      </w:tr>
      <w:tr w14:paraId="6B17D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480" w:type="dxa"/>
            <w:gridSpan w:val="7"/>
            <w:noWrap/>
            <w:vAlign w:val="center"/>
          </w:tcPr>
          <w:p w14:paraId="07F1A93E">
            <w:pPr>
              <w:widowControl w:val="0"/>
              <w:jc w:val="left"/>
              <w:rPr>
                <w:rFonts w:hint="eastAsia" w:ascii="仿宋_GB2312" w:eastAsia="仿宋_GB2312" w:cs="Times New Roman"/>
                <w:color w:val="auto"/>
                <w:spacing w:val="-6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法定代表人或其委托代理人（签字或盖章）：</w:t>
            </w:r>
          </w:p>
        </w:tc>
      </w:tr>
      <w:tr w14:paraId="5C217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480" w:type="dxa"/>
            <w:gridSpan w:val="7"/>
            <w:noWrap/>
            <w:vAlign w:val="center"/>
          </w:tcPr>
          <w:p w14:paraId="27D76E16">
            <w:pPr>
              <w:widowControl w:val="0"/>
              <w:jc w:val="left"/>
              <w:rPr>
                <w:rFonts w:hint="eastAsia" w:ascii="仿宋_GB2312" w:eastAsia="仿宋_GB2312" w:cs="Times New Roman"/>
                <w:color w:val="auto"/>
                <w:spacing w:val="-6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日 期：</w:t>
            </w:r>
            <w:r>
              <w:rPr>
                <w:rFonts w:ascii="仿宋_GB2312" w:eastAsia="仿宋_GB2312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 xml:space="preserve">    年     月     日</w:t>
            </w:r>
          </w:p>
        </w:tc>
      </w:tr>
    </w:tbl>
    <w:p w14:paraId="4EC651AD">
      <w:pPr>
        <w:spacing w:line="500" w:lineRule="exact"/>
        <w:ind w:left="17" w:leftChars="7" w:firstLine="472" w:firstLineChars="168"/>
        <w:rPr>
          <w:rFonts w:hint="eastAsia" w:ascii="仿宋_GB2312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 w:cs="宋体"/>
          <w:b/>
          <w:bCs/>
          <w:color w:val="auto"/>
          <w:kern w:val="0"/>
          <w:sz w:val="28"/>
          <w:szCs w:val="28"/>
          <w:highlight w:val="none"/>
          <w:lang w:val="en-US" w:eastAsia="zh-CN"/>
        </w:rPr>
        <w:t>注：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  <w:t>1.表格内容均须按要求填写并盖章，不得留空（备注栏无备注内容的，应填“无”），否则按报价无效处理。</w:t>
      </w:r>
    </w:p>
    <w:p w14:paraId="207E7B23">
      <w:pPr>
        <w:spacing w:line="500" w:lineRule="exact"/>
        <w:ind w:left="17" w:leftChars="7" w:firstLine="470" w:firstLineChars="168"/>
        <w:rPr>
          <w:rFonts w:hint="eastAsia" w:ascii="仿宋_GB2312" w:eastAsia="仿宋_GB2312" w:cs="宋体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  <w:t>2.供应商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  <w:highlight w:val="none"/>
        </w:rPr>
        <w:t>必须就“采购需求一览表”中服务内容作完整唯一报价，否则，其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  <w:highlight w:val="none"/>
          <w:lang w:eastAsia="zh-CN"/>
        </w:rPr>
        <w:t>报价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  <w:highlight w:val="none"/>
        </w:rPr>
        <w:t>将被拒绝。响应文件只允许有一个报价，有选择的或有条件的报价将不予接受。</w:t>
      </w:r>
    </w:p>
    <w:p w14:paraId="47F0BB94">
      <w:pPr>
        <w:spacing w:line="500" w:lineRule="exact"/>
        <w:ind w:left="17" w:leftChars="7" w:firstLine="470" w:firstLineChars="168"/>
        <w:rPr>
          <w:rFonts w:hint="eastAsia" w:ascii="仿宋_GB2312" w:eastAsia="仿宋_GB2312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  <w:highlight w:val="none"/>
        </w:rPr>
        <w:t>报价表须由法定代表人或委托代理人签名（或盖章）并加盖供应商公章。报价若此表由多页构成的，需逐页加盖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  <w:highlight w:val="none"/>
          <w:lang w:eastAsia="zh-CN"/>
        </w:rPr>
        <w:t>报价人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  <w:highlight w:val="none"/>
        </w:rPr>
        <w:t>公章并由法定代表人或委托代理人签名。</w:t>
      </w:r>
    </w:p>
    <w:p w14:paraId="36E8F6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00" w:lineRule="exact"/>
        <w:jc w:val="both"/>
        <w:rPr>
          <w:rFonts w:hint="eastAsia" w:ascii="仿宋_GB2312" w:eastAsia="仿宋_GB2312" w:cs="仿宋_GB2312"/>
          <w:b w:val="0"/>
          <w:bCs w:val="0"/>
          <w:kern w:val="0"/>
          <w:sz w:val="28"/>
          <w:szCs w:val="28"/>
          <w:lang w:val="en-US" w:eastAsia="zh-CN" w:bidi="hi-IN"/>
        </w:rPr>
      </w:pPr>
    </w:p>
    <w:p w14:paraId="37103EEB">
      <w:pPr>
        <w:tabs>
          <w:tab w:val="left" w:pos="7560"/>
        </w:tabs>
        <w:spacing w:line="560" w:lineRule="exact"/>
        <w:ind w:left="0"/>
        <w:rPr>
          <w:rFonts w:ascii="仿宋_GB2312" w:eastAsia="仿宋_GB2312"/>
          <w:color w:val="000000"/>
          <w:sz w:val="32"/>
          <w:szCs w:val="32"/>
        </w:rPr>
      </w:pPr>
    </w:p>
    <w:p w14:paraId="4403E028">
      <w:pPr>
        <w:tabs>
          <w:tab w:val="left" w:pos="7560"/>
        </w:tabs>
        <w:spacing w:line="560" w:lineRule="exact"/>
        <w:ind w:left="0"/>
        <w:rPr>
          <w:rFonts w:ascii="仿宋_GB2312" w:eastAsia="仿宋_GB2312"/>
          <w:color w:val="000000"/>
          <w:sz w:val="32"/>
          <w:szCs w:val="32"/>
        </w:rPr>
      </w:pPr>
    </w:p>
    <w:p w14:paraId="55163A96">
      <w:pPr>
        <w:tabs>
          <w:tab w:val="left" w:pos="7560"/>
        </w:tabs>
        <w:spacing w:line="560" w:lineRule="exact"/>
        <w:ind w:left="0"/>
        <w:rPr>
          <w:rFonts w:ascii="仿宋_GB2312" w:eastAsia="仿宋_GB2312"/>
          <w:color w:val="000000"/>
          <w:sz w:val="32"/>
          <w:szCs w:val="32"/>
        </w:rPr>
      </w:pPr>
    </w:p>
    <w:p w14:paraId="00917A8C">
      <w:pPr>
        <w:pStyle w:val="2"/>
      </w:pPr>
    </w:p>
    <w:p w14:paraId="46B086BF">
      <w:pPr>
        <w:tabs>
          <w:tab w:val="left" w:pos="7560"/>
        </w:tabs>
        <w:spacing w:line="560" w:lineRule="exact"/>
        <w:ind w:left="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附件4</w:t>
      </w:r>
    </w:p>
    <w:p w14:paraId="6AF4EF4F">
      <w:pPr>
        <w:tabs>
          <w:tab w:val="left" w:pos="7560"/>
        </w:tabs>
        <w:spacing w:line="560" w:lineRule="exact"/>
        <w:ind w:left="0" w:firstLine="3080" w:firstLineChars="700"/>
      </w:pPr>
      <w:r>
        <w:rPr>
          <w:rFonts w:hint="eastAsia" w:ascii="方正小标宋简体" w:eastAsia="方正小标宋简体"/>
          <w:b w:val="0"/>
          <w:i w:val="0"/>
          <w:iCs w:val="0"/>
          <w:caps w:val="0"/>
          <w:smallCaps w:val="0"/>
          <w:vanish w:val="0"/>
          <w:color w:val="000000"/>
          <w:spacing w:val="0"/>
          <w:kern w:val="36"/>
          <w:sz w:val="44"/>
          <w:szCs w:val="44"/>
          <w:lang w:eastAsia="zh-CN"/>
        </w:rPr>
        <w:t>比选</w:t>
      </w:r>
      <w:r>
        <w:rPr>
          <w:rFonts w:ascii="方正小标宋简体" w:eastAsia="方正小标宋简体"/>
          <w:b w:val="0"/>
          <w:i w:val="0"/>
          <w:iCs w:val="0"/>
          <w:caps w:val="0"/>
          <w:smallCaps w:val="0"/>
          <w:vanish w:val="0"/>
          <w:color w:val="000000"/>
          <w:spacing w:val="0"/>
          <w:kern w:val="36"/>
          <w:sz w:val="44"/>
          <w:szCs w:val="44"/>
        </w:rPr>
        <w:t>办法</w:t>
      </w:r>
    </w:p>
    <w:tbl>
      <w:tblPr>
        <w:tblStyle w:val="8"/>
        <w:tblpPr w:leftFromText="180" w:rightFromText="180" w:vertAnchor="text" w:horzAnchor="page" w:tblpX="1699" w:tblpY="945"/>
        <w:tblOverlap w:val="never"/>
        <w:tblW w:w="9535" w:type="dxa"/>
        <w:tblInd w:w="0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02"/>
        <w:gridCol w:w="812"/>
        <w:gridCol w:w="5321"/>
      </w:tblGrid>
      <w:tr w14:paraId="2CC21FC9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tblHeader/>
        </w:trPr>
        <w:tc>
          <w:tcPr>
            <w:tcW w:w="3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D2896E0">
            <w:pPr>
              <w:pStyle w:val="7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 w:val="0"/>
                <w:bCs/>
                <w:sz w:val="24"/>
                <w:szCs w:val="24"/>
                <w:lang w:bidi="ar-SA"/>
              </w:rPr>
              <w:t>评定内容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4C73AEB">
            <w:pPr>
              <w:pStyle w:val="7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 w:val="0"/>
                <w:bCs/>
                <w:color w:val="000000"/>
                <w:sz w:val="24"/>
                <w:szCs w:val="24"/>
                <w:lang w:bidi="ar-SA"/>
              </w:rPr>
              <w:t>分值</w:t>
            </w:r>
          </w:p>
        </w:tc>
        <w:tc>
          <w:tcPr>
            <w:tcW w:w="53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5096BFD">
            <w:pPr>
              <w:pStyle w:val="7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 w:val="0"/>
                <w:bCs/>
                <w:color w:val="000000"/>
                <w:sz w:val="24"/>
                <w:szCs w:val="24"/>
                <w:lang w:bidi="ar-SA"/>
              </w:rPr>
              <w:t>标准</w:t>
            </w:r>
          </w:p>
        </w:tc>
      </w:tr>
    </w:tbl>
    <w:tbl>
      <w:tblPr>
        <w:tblStyle w:val="8"/>
        <w:tblpPr w:leftFromText="180" w:rightFromText="180" w:vertAnchor="text" w:horzAnchor="page" w:tblpX="1714" w:tblpY="1647"/>
        <w:tblOverlap w:val="never"/>
        <w:tblW w:w="9535" w:type="dxa"/>
        <w:tblInd w:w="0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7"/>
        <w:gridCol w:w="2065"/>
        <w:gridCol w:w="812"/>
        <w:gridCol w:w="5321"/>
      </w:tblGrid>
      <w:tr w14:paraId="684713FB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8FFC85F">
            <w:pPr>
              <w:pStyle w:val="7"/>
              <w:keepNext/>
              <w:keepLines w:val="0"/>
              <w:widowControl w:val="0"/>
              <w:suppressLineNumbers w:val="0"/>
              <w:wordWrap w:val="0"/>
              <w:spacing w:beforeAutospacing="0" w:afterAutospacing="0" w:line="56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bidi="ar-SA"/>
              </w:rPr>
              <w:t>价格分</w:t>
            </w:r>
          </w:p>
        </w:tc>
        <w:tc>
          <w:tcPr>
            <w:tcW w:w="2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15F5068">
            <w:pPr>
              <w:pStyle w:val="7"/>
              <w:keepNext/>
              <w:keepLines w:val="0"/>
              <w:widowControl w:val="0"/>
              <w:suppressLineNumbers w:val="0"/>
              <w:wordWrap w:val="0"/>
              <w:spacing w:beforeAutospacing="0" w:afterAutospacing="0" w:line="56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bidi="ar-SA"/>
              </w:rPr>
              <w:t>最低价为基准价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9943187">
            <w:pPr>
              <w:pStyle w:val="7"/>
              <w:keepNext/>
              <w:keepLines w:val="0"/>
              <w:widowControl w:val="0"/>
              <w:suppressLineNumbers w:val="0"/>
              <w:wordWrap w:val="0"/>
              <w:spacing w:beforeAutospacing="0" w:afterAutospacing="0" w:line="56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bidi="ar-SA"/>
              </w:rPr>
              <w:t>20</w:t>
            </w:r>
          </w:p>
        </w:tc>
        <w:tc>
          <w:tcPr>
            <w:tcW w:w="53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99CEB68">
            <w:pPr>
              <w:pStyle w:val="6"/>
              <w:keepNext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contextualSpacing w:val="0"/>
              <w:textAlignment w:val="auto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满足招标采购要求的最低报价为基准价（财政部令第87号令明确规定“有可能影响产品质量或者不能诚信履约的”作为无效投标处理。），其得分为20分。价格得分 =（基准价÷最后报价）×20分。</w:t>
            </w:r>
          </w:p>
        </w:tc>
      </w:tr>
      <w:tr w14:paraId="463A7886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 w14:paraId="6B8CB74C">
            <w:pPr>
              <w:pStyle w:val="7"/>
              <w:keepNext/>
              <w:keepLines w:val="0"/>
              <w:widowControl w:val="0"/>
              <w:suppressLineNumbers w:val="0"/>
              <w:wordWrap w:val="0"/>
              <w:spacing w:beforeAutospacing="0" w:afterAutospacing="0" w:line="56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 w:bidi="ar-SA"/>
              </w:rPr>
              <w:t>服务</w:t>
            </w: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bidi="ar-SA"/>
              </w:rPr>
              <w:t>方案</w:t>
            </w:r>
          </w:p>
        </w:tc>
        <w:tc>
          <w:tcPr>
            <w:tcW w:w="2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 w14:paraId="1150A5C5">
            <w:pPr>
              <w:pStyle w:val="7"/>
              <w:keepNext/>
              <w:keepLines w:val="0"/>
              <w:widowControl w:val="0"/>
              <w:suppressLineNumbers w:val="0"/>
              <w:wordWrap w:val="0"/>
              <w:spacing w:beforeAutospacing="0" w:afterAutospacing="0" w:line="56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 w:bidi="ar-SA"/>
              </w:rPr>
              <w:t>实施方案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 w14:paraId="08C42787">
            <w:pPr>
              <w:pStyle w:val="7"/>
              <w:keepNext/>
              <w:keepLines w:val="0"/>
              <w:widowControl w:val="0"/>
              <w:suppressLineNumbers w:val="0"/>
              <w:wordWrap w:val="0"/>
              <w:spacing w:beforeAutospacing="0" w:afterAutospacing="0" w:line="56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bidi="ar-SA"/>
              </w:rPr>
              <w:t>30</w:t>
            </w:r>
          </w:p>
        </w:tc>
        <w:tc>
          <w:tcPr>
            <w:tcW w:w="53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center"/>
          </w:tcPr>
          <w:p w14:paraId="0C4D431C">
            <w:pPr>
              <w:pStyle w:val="6"/>
              <w:keepNext/>
              <w:keepLines w:val="0"/>
              <w:pageBreakBefore w:val="0"/>
              <w:widowControl w:val="0"/>
              <w:suppressLineNumbers w:val="0"/>
              <w:suppressAutoHyphens w:val="0"/>
              <w:spacing w:line="360" w:lineRule="exact"/>
              <w:ind w:left="0"/>
              <w:rPr>
                <w:rFonts w:hint="eastAsia" w:ascii="仿宋_GB2312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4"/>
                <w:szCs w:val="24"/>
                <w:lang w:eastAsia="zh-CN"/>
              </w:rPr>
              <w:t>一档（0 分）</w:t>
            </w:r>
            <w:r>
              <w:rPr>
                <w:rFonts w:hint="eastAsia" w:ascii="仿宋_GB2312" w:eastAsia="仿宋_GB2312" w:cs="Times New Roman"/>
                <w:b w:val="0"/>
                <w:bCs/>
                <w:sz w:val="24"/>
                <w:szCs w:val="24"/>
                <w:lang w:eastAsia="zh-CN"/>
              </w:rPr>
              <w:t>：未提供项目实施方案的不得分。</w:t>
            </w:r>
          </w:p>
          <w:p w14:paraId="2D41AAD5">
            <w:pPr>
              <w:pStyle w:val="6"/>
              <w:keepNext/>
              <w:keepLines w:val="0"/>
              <w:pageBreakBefore w:val="0"/>
              <w:widowControl w:val="0"/>
              <w:suppressLineNumbers w:val="0"/>
              <w:suppressAutoHyphens w:val="0"/>
              <w:spacing w:line="360" w:lineRule="exact"/>
              <w:ind w:left="0"/>
              <w:rPr>
                <w:rFonts w:hint="eastAsia" w:ascii="仿宋_GB2312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4"/>
                <w:szCs w:val="24"/>
                <w:lang w:eastAsia="zh-CN"/>
              </w:rPr>
              <w:t>二档（</w:t>
            </w:r>
            <w:r>
              <w:rPr>
                <w:rFonts w:ascii="仿宋_GB2312" w:eastAsia="仿宋_GB2312" w:cs="Times New Roman"/>
                <w:b/>
                <w:bCs/>
                <w:sz w:val="24"/>
                <w:szCs w:val="24"/>
                <w:lang w:eastAsia="zh-CN"/>
              </w:rPr>
              <w:t>10</w:t>
            </w:r>
            <w:r>
              <w:rPr>
                <w:rFonts w:hint="eastAsia" w:ascii="仿宋_GB2312" w:eastAsia="仿宋_GB2312" w:cs="Times New Roman"/>
                <w:b/>
                <w:bCs/>
                <w:sz w:val="24"/>
                <w:szCs w:val="24"/>
                <w:lang w:eastAsia="zh-CN"/>
              </w:rPr>
              <w:t xml:space="preserve"> 分</w:t>
            </w:r>
            <w:r>
              <w:rPr>
                <w:rFonts w:hint="eastAsia" w:ascii="仿宋_GB2312" w:eastAsia="仿宋_GB2312" w:cs="Times New Roman"/>
                <w:b w:val="0"/>
                <w:bCs/>
                <w:sz w:val="24"/>
                <w:szCs w:val="24"/>
                <w:lang w:eastAsia="zh-CN"/>
              </w:rPr>
              <w:t>）：项目实施方案基本满足采购需求的“项目要求及技术需求”内容，方案工作措施、工作方法不具体；人员配置、工作经验、工作手段、工作流程基本合理，可操作性不强。</w:t>
            </w:r>
          </w:p>
          <w:p w14:paraId="070F7434">
            <w:pPr>
              <w:pStyle w:val="6"/>
              <w:keepNext/>
              <w:keepLines w:val="0"/>
              <w:pageBreakBefore w:val="0"/>
              <w:widowControl w:val="0"/>
              <w:suppressLineNumbers w:val="0"/>
              <w:suppressAutoHyphens w:val="0"/>
              <w:spacing w:line="360" w:lineRule="exact"/>
              <w:ind w:left="0"/>
              <w:rPr>
                <w:rFonts w:hint="eastAsia" w:ascii="仿宋_GB2312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4"/>
                <w:szCs w:val="24"/>
                <w:lang w:eastAsia="zh-CN"/>
              </w:rPr>
              <w:t>三档（</w:t>
            </w:r>
            <w:r>
              <w:rPr>
                <w:rFonts w:ascii="仿宋_GB2312" w:eastAsia="仿宋_GB2312" w:cs="Times New Roman"/>
                <w:b/>
                <w:bCs/>
                <w:sz w:val="24"/>
                <w:szCs w:val="24"/>
                <w:lang w:eastAsia="zh-CN"/>
              </w:rPr>
              <w:t>15</w:t>
            </w:r>
            <w:r>
              <w:rPr>
                <w:rFonts w:hint="eastAsia" w:ascii="仿宋_GB2312" w:eastAsia="仿宋_GB2312" w:cs="Times New Roman"/>
                <w:b/>
                <w:bCs/>
                <w:sz w:val="24"/>
                <w:szCs w:val="24"/>
                <w:lang w:eastAsia="zh-CN"/>
              </w:rPr>
              <w:t xml:space="preserve"> 分）</w:t>
            </w:r>
            <w:r>
              <w:rPr>
                <w:rFonts w:hint="eastAsia" w:ascii="仿宋_GB2312" w:eastAsia="仿宋_GB2312" w:cs="Times New Roman"/>
                <w:b w:val="0"/>
                <w:bCs/>
                <w:sz w:val="24"/>
                <w:szCs w:val="24"/>
                <w:lang w:eastAsia="zh-CN"/>
              </w:rPr>
              <w:t>：项目实施方案满足购需求的“项目要求及技术需求”全部内容，方案的工作措施、工作方法具体可行且依据项目具体情况采取有效的措施，符合规范要求；人员配置合理、有相关工作经验，工作手段、工作流程科学，可操作性较强。</w:t>
            </w:r>
          </w:p>
          <w:p w14:paraId="58FB6BC1">
            <w:pPr>
              <w:pStyle w:val="6"/>
              <w:keepNext/>
              <w:keepLines w:val="0"/>
              <w:pageBreakBefore w:val="0"/>
              <w:widowControl w:val="0"/>
              <w:suppressLineNumbers w:val="0"/>
              <w:suppressAutoHyphens w:val="0"/>
              <w:spacing w:line="360" w:lineRule="exact"/>
              <w:ind w:left="0"/>
              <w:rPr>
                <w:rFonts w:hint="eastAsia" w:ascii="仿宋_GB2312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4"/>
                <w:szCs w:val="24"/>
                <w:lang w:eastAsia="zh-CN"/>
              </w:rPr>
              <w:t>四档（</w:t>
            </w:r>
            <w:r>
              <w:rPr>
                <w:rFonts w:ascii="仿宋_GB2312" w:eastAsia="仿宋_GB2312" w:cs="Times New Roman"/>
                <w:b/>
                <w:bCs/>
                <w:sz w:val="24"/>
                <w:szCs w:val="24"/>
                <w:lang w:eastAsia="zh-CN"/>
              </w:rPr>
              <w:t>20</w:t>
            </w:r>
            <w:r>
              <w:rPr>
                <w:rFonts w:hint="eastAsia" w:ascii="仿宋_GB2312" w:eastAsia="仿宋_GB2312" w:cs="Times New Roman"/>
                <w:b/>
                <w:bCs/>
                <w:sz w:val="24"/>
                <w:szCs w:val="24"/>
                <w:lang w:eastAsia="zh-CN"/>
              </w:rPr>
              <w:t xml:space="preserve"> 分）</w:t>
            </w:r>
            <w:r>
              <w:rPr>
                <w:rFonts w:hint="eastAsia" w:ascii="仿宋_GB2312" w:eastAsia="仿宋_GB2312" w:cs="Times New Roman"/>
                <w:b w:val="0"/>
                <w:bCs/>
                <w:sz w:val="24"/>
                <w:szCs w:val="24"/>
                <w:lang w:eastAsia="zh-CN"/>
              </w:rPr>
              <w:t>：项目实施方案满足采购需求的“项目要求及技术需求”全部内容，方案的工作措施、工作方法先进、有效、且依据项目具体情况采取有针对性的措施，符合规范要求；人员配置充足、工作经验丰富，工作手段、工作流程计划科学、安排合理，可操作性强，对项目有保障。</w:t>
            </w:r>
          </w:p>
          <w:p w14:paraId="213330FC">
            <w:pPr>
              <w:pStyle w:val="6"/>
              <w:keepNext/>
              <w:keepLines w:val="0"/>
              <w:pageBreakBefore w:val="0"/>
              <w:widowControl w:val="0"/>
              <w:suppressLineNumbers w:val="0"/>
              <w:suppressAutoHyphens w:val="0"/>
              <w:spacing w:line="360" w:lineRule="exact"/>
              <w:ind w:left="0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4"/>
                <w:szCs w:val="24"/>
                <w:lang w:eastAsia="zh-CN"/>
              </w:rPr>
              <w:t>五档（</w:t>
            </w:r>
            <w:r>
              <w:rPr>
                <w:rFonts w:ascii="仿宋_GB2312" w:eastAsia="仿宋_GB2312" w:cs="Times New Roman"/>
                <w:b/>
                <w:bCs/>
                <w:sz w:val="24"/>
                <w:szCs w:val="24"/>
                <w:lang w:eastAsia="zh-CN"/>
              </w:rPr>
              <w:t>30</w:t>
            </w:r>
            <w:r>
              <w:rPr>
                <w:rFonts w:hint="eastAsia" w:ascii="仿宋_GB2312" w:eastAsia="仿宋_GB2312" w:cs="Times New Roman"/>
                <w:b/>
                <w:bCs/>
                <w:sz w:val="24"/>
                <w:szCs w:val="24"/>
                <w:lang w:eastAsia="zh-CN"/>
              </w:rPr>
              <w:t xml:space="preserve"> 分）</w:t>
            </w:r>
            <w:r>
              <w:rPr>
                <w:rFonts w:hint="eastAsia" w:ascii="仿宋_GB2312" w:eastAsia="仿宋_GB2312" w:cs="Times New Roman"/>
                <w:b w:val="0"/>
                <w:bCs/>
                <w:sz w:val="24"/>
                <w:szCs w:val="24"/>
                <w:lang w:eastAsia="zh-CN"/>
              </w:rPr>
              <w:t>：项目实施方案完全满足采购需求的“项目要求及技术需求”全部内容，方案的工作措施、工作方法先进、科学、成熟且依据项目具体情况采取有针对性的措施、措施详细完整，符合规范要求；人员配置充足、安排合理、工作经验丰富、能力强，工作手段、工作流程计划科学合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理、安排紧凑合理，可操作性强，对项目保障力度大。</w:t>
            </w:r>
          </w:p>
        </w:tc>
      </w:tr>
      <w:tr w14:paraId="55137806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DCCADBD">
            <w:pPr>
              <w:pStyle w:val="7"/>
              <w:keepNext/>
              <w:keepLines w:val="0"/>
              <w:widowControl w:val="0"/>
              <w:suppressLineNumbers w:val="0"/>
              <w:wordWrap w:val="0"/>
              <w:spacing w:beforeAutospacing="0" w:afterAutospacing="0" w:line="56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  <w:t>技术方案</w:t>
            </w:r>
          </w:p>
        </w:tc>
        <w:tc>
          <w:tcPr>
            <w:tcW w:w="2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51B4332">
            <w:pPr>
              <w:pStyle w:val="7"/>
              <w:keepNext/>
              <w:keepLines w:val="0"/>
              <w:widowControl w:val="0"/>
              <w:suppressLineNumbers w:val="0"/>
              <w:wordWrap w:val="0"/>
              <w:spacing w:beforeAutospacing="0" w:afterAutospacing="0" w:line="56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  <w:lang w:val="en-US"/>
              </w:rPr>
              <w:t>质量控制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628F994">
            <w:pPr>
              <w:pStyle w:val="7"/>
              <w:keepNext/>
              <w:keepLines w:val="0"/>
              <w:widowControl w:val="0"/>
              <w:suppressLineNumbers w:val="0"/>
              <w:wordWrap w:val="0"/>
              <w:spacing w:beforeAutospacing="0" w:afterAutospacing="0" w:line="56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  <w:t>20</w:t>
            </w:r>
          </w:p>
        </w:tc>
        <w:tc>
          <w:tcPr>
            <w:tcW w:w="53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D53C3B1">
            <w:pPr>
              <w:pStyle w:val="7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/>
              <w:textAlignment w:val="auto"/>
              <w:rPr>
                <w:rFonts w:hint="eastAsia" w:ascii="仿宋_GB2312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4"/>
                <w:szCs w:val="24"/>
              </w:rPr>
              <w:t>一档（0 分）</w:t>
            </w:r>
            <w:r>
              <w:rPr>
                <w:rFonts w:hint="eastAsia" w:ascii="仿宋_GB2312" w:eastAsia="仿宋_GB2312" w:cs="Times New Roman"/>
                <w:b w:val="0"/>
                <w:bCs/>
                <w:sz w:val="24"/>
                <w:szCs w:val="24"/>
              </w:rPr>
              <w:t>：未提供项目质量控制方案的不得分。</w:t>
            </w:r>
          </w:p>
          <w:p w14:paraId="7B0BC656">
            <w:pPr>
              <w:pStyle w:val="7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/>
              <w:textAlignment w:val="auto"/>
              <w:rPr>
                <w:rFonts w:hint="eastAsia" w:ascii="仿宋_GB2312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4"/>
                <w:szCs w:val="24"/>
              </w:rPr>
              <w:t>二档（5 分）</w:t>
            </w:r>
            <w:r>
              <w:rPr>
                <w:rFonts w:hint="eastAsia" w:ascii="仿宋_GB2312" w:eastAsia="仿宋_GB2312" w:cs="Times New Roman"/>
                <w:b w:val="0"/>
                <w:bCs/>
                <w:sz w:val="24"/>
                <w:szCs w:val="24"/>
              </w:rPr>
              <w:t>：项目进度控制措施（包含项目时间安排、各项工作进度计划、业务管理及内部服务等内容）、质量控制措施、安全保证机制、数据安全保密方案等内容描述沉杂，较为笼统、欠缺。</w:t>
            </w:r>
          </w:p>
          <w:p w14:paraId="19BDA6BF">
            <w:pPr>
              <w:pStyle w:val="7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/>
              <w:textAlignment w:val="auto"/>
              <w:rPr>
                <w:rFonts w:hint="eastAsia" w:ascii="仿宋_GB2312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4"/>
                <w:szCs w:val="24"/>
              </w:rPr>
              <w:t>三档（10 分）</w:t>
            </w:r>
            <w:r>
              <w:rPr>
                <w:rFonts w:hint="eastAsia" w:ascii="仿宋_GB2312" w:eastAsia="仿宋_GB2312" w:cs="Times New Roman"/>
                <w:b w:val="0"/>
                <w:bCs/>
                <w:sz w:val="24"/>
                <w:szCs w:val="24"/>
              </w:rPr>
              <w:t>：项目进度控制措施（包含项目时间安排、各项工作进度计划、业务管理及内部服务等内容）、质量控制措施合理；数据检查、质量把控以及反馈纠错措施可行；安全保证和数据保密机制可行。</w:t>
            </w:r>
          </w:p>
          <w:p w14:paraId="50304293">
            <w:pPr>
              <w:pStyle w:val="7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/>
              <w:textAlignment w:val="auto"/>
              <w:rPr>
                <w:rFonts w:hint="eastAsia" w:ascii="仿宋_GB2312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4"/>
                <w:szCs w:val="24"/>
              </w:rPr>
              <w:t>四档（15 分）</w:t>
            </w:r>
            <w:r>
              <w:rPr>
                <w:rFonts w:hint="eastAsia" w:ascii="仿宋_GB2312" w:eastAsia="仿宋_GB2312" w:cs="Times New Roman"/>
                <w:b w:val="0"/>
                <w:bCs/>
                <w:sz w:val="24"/>
                <w:szCs w:val="24"/>
              </w:rPr>
              <w:t>：项目进度控制措施（包含项目时间安排、各项工作进度计划、业务管理及内部服务等内容）科学、全面；项目过程的质量控制有保障机制；数据检查、质量控制以及反馈纠错措施完善；安全保证和数据保密机制可行、有效。</w:t>
            </w:r>
          </w:p>
          <w:p w14:paraId="514FC4F3">
            <w:pPr>
              <w:pStyle w:val="7"/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/>
              <w:textAlignment w:val="auto"/>
              <w:rPr>
                <w:rFonts w:hint="eastAsia" w:ascii="仿宋_GB2312" w:eastAsia="仿宋_GB2312"/>
                <w:bCs/>
                <w:szCs w:val="24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4"/>
                <w:szCs w:val="24"/>
              </w:rPr>
              <w:t>五档（20 分）</w:t>
            </w:r>
            <w:r>
              <w:rPr>
                <w:rFonts w:hint="eastAsia" w:ascii="仿宋_GB2312" w:eastAsia="仿宋_GB2312" w:cs="Times New Roman"/>
                <w:b w:val="0"/>
                <w:bCs/>
                <w:sz w:val="24"/>
                <w:szCs w:val="24"/>
              </w:rPr>
              <w:t>：项目进度控制措施（包含项目时间安排、各项工作进度计划、业务管理及内部服务等内容）科学、具体、完善；项目全过程的质量控制保障机制规范有效；数据检查及时，质量控制以及反馈纠错措施完善；安全保证和数据保密机制切实可行、措施效果明显。</w:t>
            </w:r>
          </w:p>
        </w:tc>
      </w:tr>
      <w:tr w14:paraId="35E1C575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15E1FED">
            <w:pPr>
              <w:pStyle w:val="7"/>
              <w:keepNext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bidi="ar-SA"/>
              </w:rPr>
              <w:t>团队服务</w:t>
            </w:r>
          </w:p>
        </w:tc>
        <w:tc>
          <w:tcPr>
            <w:tcW w:w="2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75E60CF">
            <w:pPr>
              <w:pStyle w:val="7"/>
              <w:keepNext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bidi="ar-SA"/>
              </w:rPr>
              <w:t>人员构成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549BD99">
            <w:pPr>
              <w:pStyle w:val="7"/>
              <w:keepNext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53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CA0E128">
            <w:pPr>
              <w:pStyle w:val="7"/>
              <w:keepNext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 w:line="360" w:lineRule="exact"/>
              <w:ind w:left="0"/>
              <w:jc w:val="both"/>
              <w:rPr>
                <w:rFonts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bidi="ar-SA"/>
              </w:rPr>
              <w:t>1.拟投入本项目的实施人员具有正</w:t>
            </w: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 w:bidi="ar-SA"/>
              </w:rPr>
              <w:t>高级职称的每人得5分，此项最多得10分</w:t>
            </w: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bidi="ar-SA"/>
              </w:rPr>
              <w:t>；副高职称的每人得4分，此项最多得8分；</w:t>
            </w:r>
          </w:p>
          <w:p w14:paraId="3F6836BA">
            <w:pPr>
              <w:pStyle w:val="7"/>
              <w:keepNext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adjustRightInd/>
              <w:snapToGrid/>
              <w:spacing w:before="0" w:beforeAutospacing="0" w:after="0" w:afterAutospacing="0" w:line="360" w:lineRule="exact"/>
              <w:ind w:left="0"/>
              <w:jc w:val="both"/>
              <w:rPr>
                <w:rFonts w:ascii="Times New Roman" w:hAnsi="Times New Roman" w:eastAsia="仿宋_GB2312"/>
                <w:bCs/>
                <w:color w:val="000000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bidi="ar-SA"/>
              </w:rPr>
              <w:t>2.拟投入本项目的实施人员具有5年以上相关经验的，每提供一人得2分，此项最多得10分；3年以上相关经验的，每提供一人得1分，此项最多得8分。</w:t>
            </w:r>
          </w:p>
        </w:tc>
      </w:tr>
      <w:tr w14:paraId="4F1C3285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0DFF552">
            <w:pPr>
              <w:pStyle w:val="7"/>
              <w:keepNext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bidi="ar-SA"/>
              </w:rPr>
              <w:t>其他</w:t>
            </w:r>
          </w:p>
        </w:tc>
        <w:tc>
          <w:tcPr>
            <w:tcW w:w="2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1AD3725">
            <w:pPr>
              <w:pStyle w:val="7"/>
              <w:keepNext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adjustRightInd/>
              <w:snapToGrid/>
              <w:spacing w:beforeAutospacing="0" w:afterAutospacing="0" w:line="36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bidi="ar-SA"/>
              </w:rPr>
              <w:t>项目业绩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14CFF0C">
            <w:pPr>
              <w:pStyle w:val="7"/>
              <w:keepNext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53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E1E5212">
            <w:pPr>
              <w:pStyle w:val="7"/>
              <w:keepNext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both"/>
              <w:textAlignment w:val="auto"/>
              <w:rPr>
                <w:rFonts w:ascii="Times New Roman" w:hAnsi="Times New Roman" w:eastAsia="仿宋_GB2312" w:cs="Times New Roman"/>
                <w:b w:val="0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</w:rPr>
              <w:t>近</w:t>
            </w: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3年</w:t>
            </w: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</w:rPr>
              <w:t>以来</w:t>
            </w: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有</w:t>
            </w: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</w:rPr>
              <w:t>相同或类似项目业绩的每个得</w:t>
            </w: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</w:rPr>
              <w:t>分，满分</w:t>
            </w: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</w:rPr>
              <w:t>分。（提供合同或中标（成交）通知书复印件加盖</w:t>
            </w: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</w:rPr>
              <w:t>单位公章</w:t>
            </w: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14:paraId="04D08622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34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DE060A3">
            <w:pPr>
              <w:pStyle w:val="7"/>
              <w:keepNext/>
              <w:keepLines w:val="0"/>
              <w:widowControl w:val="0"/>
              <w:suppressLineNumbers w:val="0"/>
              <w:wordWrap w:val="0"/>
              <w:spacing w:beforeAutospacing="0" w:afterAutospacing="0" w:line="56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bidi="ar-SA"/>
              </w:rPr>
              <w:t>合</w:t>
            </w: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bidi="ar-SA"/>
              </w:rPr>
              <w:t>计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86A2DF6">
            <w:pPr>
              <w:pStyle w:val="7"/>
              <w:keepNext/>
              <w:keepLines w:val="0"/>
              <w:widowControl w:val="0"/>
              <w:suppressLineNumbers w:val="0"/>
              <w:wordWrap w:val="0"/>
              <w:spacing w:beforeAutospacing="0" w:afterAutospacing="0" w:line="56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53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F4FC505">
            <w:pPr>
              <w:keepNext/>
              <w:keepLines w:val="0"/>
              <w:widowControl w:val="0"/>
              <w:suppressLineNumbers w:val="0"/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</w:tr>
    </w:tbl>
    <w:p w14:paraId="3D6EC67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B08788"/>
    <w:multiLevelType w:val="multilevel"/>
    <w:tmpl w:val="F7B08788"/>
    <w:lvl w:ilvl="0" w:tentative="0">
      <w:start w:val="1"/>
      <w:numFmt w:val="chineseCountingThousand"/>
      <w:lvlText w:val="%1、"/>
      <w:lvlJc w:val="left"/>
      <w:pPr>
        <w:tabs>
          <w:tab w:val="left" w:pos="480"/>
        </w:tabs>
        <w:ind w:left="480" w:hanging="48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E5202D"/>
    <w:rsid w:val="4BE5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left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0"/>
    </w:pPr>
    <w:rPr>
      <w:rFonts w:ascii="宋体" w:eastAsia="宋体" w:cs="Times New Roman"/>
      <w:b/>
      <w:snapToGrid/>
      <w:color w:val="auto"/>
      <w:spacing w:val="0"/>
      <w:w w:val="100"/>
      <w:kern w:val="36"/>
      <w:position w:val="0"/>
      <w:sz w:val="48"/>
      <w:szCs w:val="21"/>
      <w:u w:val="none" w:color="auto"/>
      <w:vertAlign w:val="baseline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Body Text Indent"/>
    <w:next w:val="5"/>
    <w:qFormat/>
    <w:uiPriority w:val="0"/>
    <w:pPr>
      <w:widowControl w:val="0"/>
      <w:spacing w:line="312" w:lineRule="auto"/>
      <w:ind w:firstLine="540"/>
      <w:jc w:val="both"/>
    </w:pPr>
    <w:rPr>
      <w:rFonts w:ascii="楷体_GB2312" w:hAnsi="Times New Roman" w:eastAsia="楷体_GB2312" w:cs="楷体_GB2312"/>
      <w:kern w:val="2"/>
      <w:sz w:val="24"/>
      <w:szCs w:val="24"/>
      <w:lang w:val="en-US" w:eastAsia="zh-CN" w:bidi="ar-SA"/>
    </w:rPr>
  </w:style>
  <w:style w:type="paragraph" w:styleId="5">
    <w:name w:val="index 7"/>
    <w:basedOn w:val="1"/>
    <w:next w:val="1"/>
    <w:qFormat/>
    <w:uiPriority w:val="0"/>
    <w:pPr>
      <w:ind w:left="2520"/>
    </w:pPr>
    <w:rPr>
      <w:rFonts w:ascii="黑体" w:eastAsia="黑体"/>
      <w:sz w:val="32"/>
      <w:szCs w:val="32"/>
    </w:rPr>
  </w:style>
  <w:style w:type="paragraph" w:styleId="6">
    <w:name w:val="Plain Text"/>
    <w:qFormat/>
    <w:uiPriority w:val="0"/>
    <w:pPr>
      <w:keepNext w:val="0"/>
      <w:keepLines w:val="0"/>
      <w:pageBreakBefore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宋体" w:hAnsi="Times New Roman" w:eastAsia="宋体" w:cs="Times New Roman"/>
      <w:snapToGrid/>
      <w:color w:val="auto"/>
      <w:spacing w:val="0"/>
      <w:w w:val="100"/>
      <w:kern w:val="2"/>
      <w:position w:val="0"/>
      <w:sz w:val="21"/>
      <w:szCs w:val="21"/>
      <w:u w:val="none" w:color="auto"/>
      <w:shd w:val="clear" w:color="auto" w:fill="auto"/>
      <w:vertAlign w:val="baseline"/>
      <w:lang w:val="en-US" w:eastAsia="zh-CN" w:bidi="ar-SA"/>
    </w:rPr>
  </w:style>
  <w:style w:type="paragraph" w:styleId="7">
    <w:name w:val="Normal (Web)"/>
    <w:basedOn w:val="1"/>
    <w:qFormat/>
    <w:uiPriority w:val="0"/>
    <w:pPr>
      <w:widowControl w:val="0"/>
      <w:spacing w:before="100" w:beforeAutospacing="1" w:after="100" w:afterAutospacing="1"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2025-05-20T00:22:00Z</dcterms:created>
  <dc:creator>泱</dc:creator>
  <cp:lastModifiedBy>泱</cp:lastModifiedBy>
  <dcterms:modified xsi:type="dcterms:W3CDTF">2025-05-20T00:24:48Z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96CD6DA1A3CB4E66B3D5E0084D7A20C7_11</vt:lpwstr>
  </property>
  <property fmtid="{D5CDD505-2E9C-101B-9397-08002B2CF9AE}" pid="4" name="KSOTemplateDocerSaveRecord">
    <vt:lpwstr>eyJoZGlkIjoiZjJjMmFiMDZkYjEyZjg3MDBhY2QwOWE5ZDQ2N2EyOTYiLCJ1c2VySWQiOiIzMzM3OTU4NjIifQ==</vt:lpwstr>
  </property>
</Properties>
</file>