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AFA19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附件1：</w:t>
      </w:r>
    </w:p>
    <w:p w14:paraId="78091183">
      <w:pPr>
        <w:spacing w:line="500" w:lineRule="exact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/>
          <w:b w:val="0"/>
          <w:vanish w:val="0"/>
          <w:kern w:val="36"/>
          <w:sz w:val="28"/>
          <w:szCs w:val="28"/>
          <w:lang w:eastAsia="zh-CN"/>
        </w:rPr>
        <w:t xml:space="preserve">                   </w:t>
      </w:r>
      <w:r>
        <w:rPr>
          <w:rFonts w:hint="eastAsia" w:ascii="方正小标宋简体" w:eastAsia="方正小标宋简体" w:cs="方正小标宋简体"/>
          <w:b w:val="0"/>
          <w:vanish w:val="0"/>
          <w:kern w:val="36"/>
          <w:sz w:val="36"/>
          <w:szCs w:val="36"/>
          <w:lang w:eastAsia="zh-CN"/>
        </w:rPr>
        <w:t xml:space="preserve">  </w:t>
      </w: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36"/>
          <w:szCs w:val="36"/>
        </w:rPr>
        <w:t>采购需求一览表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80"/>
        <w:gridCol w:w="720"/>
        <w:gridCol w:w="718"/>
        <w:gridCol w:w="4695"/>
      </w:tblGrid>
      <w:tr w14:paraId="606F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51F83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680" w:type="dxa"/>
          </w:tcPr>
          <w:p w14:paraId="4A8CA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服务名称</w:t>
            </w:r>
          </w:p>
        </w:tc>
        <w:tc>
          <w:tcPr>
            <w:tcW w:w="720" w:type="dxa"/>
          </w:tcPr>
          <w:p w14:paraId="17F086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数量</w:t>
            </w:r>
          </w:p>
        </w:tc>
        <w:tc>
          <w:tcPr>
            <w:tcW w:w="718" w:type="dxa"/>
          </w:tcPr>
          <w:p w14:paraId="6A6B68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单位</w:t>
            </w:r>
          </w:p>
        </w:tc>
        <w:tc>
          <w:tcPr>
            <w:tcW w:w="4695" w:type="dxa"/>
          </w:tcPr>
          <w:p w14:paraId="0C0A87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项目需求或技术参数</w:t>
            </w:r>
          </w:p>
        </w:tc>
      </w:tr>
      <w:tr w14:paraId="5410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08" w:type="dxa"/>
            <w:vAlign w:val="center"/>
          </w:tcPr>
          <w:p w14:paraId="5EC091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14:paraId="1E15FE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 w:cs="仿宋_GB2312"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eastAsia="zh-CN"/>
              </w:rPr>
              <w:t>广西药品安全及高质量发展“十五五”规划编制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</w:rPr>
              <w:t>服务</w:t>
            </w:r>
          </w:p>
        </w:tc>
        <w:tc>
          <w:tcPr>
            <w:tcW w:w="720" w:type="dxa"/>
            <w:vAlign w:val="center"/>
          </w:tcPr>
          <w:p w14:paraId="5B5482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ascii="仿宋_GB2312" w:eastAsia="仿宋_GB2312"/>
                <w:color w:val="000000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14:paraId="1F9016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ascii="仿宋_GB2312" w:eastAsia="仿宋_GB2312"/>
                <w:color w:val="000000"/>
                <w:szCs w:val="24"/>
              </w:rPr>
              <w:t>项</w:t>
            </w:r>
          </w:p>
        </w:tc>
        <w:tc>
          <w:tcPr>
            <w:tcW w:w="4695" w:type="dxa"/>
          </w:tcPr>
          <w:p w14:paraId="03398780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黑体" w:eastAsia="黑体" w:cs="仿宋_GB2312"/>
                <w:color w:val="000000"/>
                <w:szCs w:val="24"/>
                <w:u w:val="none"/>
              </w:rPr>
            </w:pPr>
            <w:r>
              <w:rPr>
                <w:rFonts w:hint="eastAsia" w:ascii="黑体" w:eastAsia="黑体" w:cs="仿宋_GB2312"/>
                <w:color w:val="000000"/>
                <w:szCs w:val="24"/>
                <w:u w:val="none"/>
              </w:rPr>
              <w:t>服务范围</w:t>
            </w:r>
          </w:p>
          <w:p w14:paraId="4F87A7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 w:firstLine="0"/>
              <w:jc w:val="both"/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立足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广西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药监“十四五”工作的基础和现状，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对广西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开展实地调研、座谈、调查问卷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、提供资料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等开展科学调研，收集资料、信息整理汇总分析，形成完整的广西药品监管基本信息数据。</w:t>
            </w:r>
          </w:p>
          <w:p w14:paraId="4D017F6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黑体" w:eastAsia="黑体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黑体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二、服务要求</w:t>
            </w:r>
          </w:p>
          <w:p w14:paraId="3E535C7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eastAsia="仿宋_GB2312" w:cs="仿宋_GB2312"/>
                <w:color w:val="000000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以国家政策导向为指引，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Cs w:val="24"/>
                <w:highlight w:val="none"/>
                <w:lang w:val="en-US" w:eastAsia="zh-CN"/>
              </w:rPr>
              <w:t>借鉴吸收国内优秀经验，围绕完善药品安全治理体系、健全制度标准体系、规范监管执法、强化风险防控、改革创新服务、加强技术支撑能力建设、强化队伍建设、提升监管信息化水平、支持医药产业高质量发展</w:t>
            </w:r>
            <w:r>
              <w:rPr>
                <w:rFonts w:hint="eastAsia" w:ascii="仿宋_GB2312" w:eastAsia="仿宋_GB2312" w:cs="仿宋_GB2312"/>
                <w:b w:val="0"/>
                <w:bCs w:val="0"/>
                <w:strike w:val="0"/>
                <w:dstrike w:val="0"/>
                <w:color w:val="000000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Cs w:val="24"/>
                <w:highlight w:val="none"/>
                <w:lang w:val="en-US" w:eastAsia="zh-CN"/>
              </w:rPr>
              <w:t>方面提出相应体现药品监管改革</w:t>
            </w:r>
            <w:r>
              <w:rPr>
                <w:rFonts w:hint="eastAsia" w:ascii="仿宋_GB2312" w:eastAsia="仿宋_GB2312" w:cs="仿宋_GB2312"/>
                <w:b w:val="0"/>
                <w:bCs w:val="0"/>
                <w:strike/>
                <w:dstrike w:val="0"/>
                <w:color w:val="000000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Cs w:val="24"/>
                <w:highlight w:val="none"/>
                <w:lang w:val="en-US" w:eastAsia="zh-CN"/>
              </w:rPr>
              <w:t>创新精神，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研究提出“十五五”时期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广西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药品安全与高质量发展的指导思想、基本原则、战略定位和建设目标。</w:t>
            </w:r>
          </w:p>
          <w:p w14:paraId="614776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三、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报告</w:t>
            </w: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编制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内容</w:t>
            </w:r>
          </w:p>
          <w:p w14:paraId="5D1573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1、“十四五”发展成效</w:t>
            </w: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。对十四五期间发展成效的总结，主要基于“十四五”规划目标完成情况进行系统阐述，同时总结自治区党委、政府的最新决策部署、国家药监局工作要求。突出具有突破性示范效应、领衔示范效应、优势示范效应、常规工作完成情况、重大项目阶段性进展等情况。成效聚焦结论性成效和数据型总结，做到系统全面、条理清晰、总结精准、亮点突出。</w:t>
            </w:r>
          </w:p>
          <w:p w14:paraId="3F2945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1.1监管工作成效</w:t>
            </w:r>
          </w:p>
          <w:p w14:paraId="79B6CA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主要围绕药品监管体制机制、法规制度标准、技术能力建设、监督执法成效等方面开展分析总结。</w:t>
            </w:r>
          </w:p>
          <w:p w14:paraId="44326C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1.2服务工作成效</w:t>
            </w:r>
          </w:p>
          <w:p w14:paraId="0CF25A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主要围绕创新服务产业政策、多部门协同政策、市场主体发展情况、研发创新进展成果、产业园区发展情况等方面开展分析总结。</w:t>
            </w:r>
          </w:p>
          <w:p w14:paraId="1F39C4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2、“十五五”发展环境及面临的问题</w:t>
            </w:r>
          </w:p>
          <w:p w14:paraId="6987DD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2.1“十五五”发展环境</w:t>
            </w:r>
          </w:p>
          <w:p w14:paraId="7448E5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一是看外部环境，找准广西药品安全及高质量发展的重点特色。二是看内部发展，找准广西药品安全及高质量发展的难点堵点。三是找自身亮点，找准广西药品安全及高质量发展的亮点机会。四是找自身不足，找准广西药品安全及高质量发展的差距需求。</w:t>
            </w:r>
          </w:p>
          <w:p w14:paraId="666539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2.2“十五五”发展面临的问题</w:t>
            </w:r>
          </w:p>
          <w:p w14:paraId="75C5C5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于“十五五”发展环境的分析，强调通过实地调研开展问题收集，据实了解监管一线、产业一线所面临的发展难题，问题主要聚焦现代化药品监管能力建设情况、药品监管层面和市场发展层面的资源能力匹配情况、新型药品监管服务模式建设情况等。</w:t>
            </w:r>
          </w:p>
          <w:p w14:paraId="218485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3、“十五五”发展目标</w:t>
            </w:r>
          </w:p>
          <w:p w14:paraId="51DE4A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发展目标与战略定位和阶段性任务密切相关。围绕省委、省政府的决策部署和目标定位，结合广西药监局十五五时期的发展基础和工作目标，开展定性、定量发展指标的系统谋划。</w:t>
            </w:r>
          </w:p>
          <w:p w14:paraId="3E927A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3.1“十五五”时期主要目标</w:t>
            </w:r>
          </w:p>
          <w:p w14:paraId="225779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划围绕监管治理体系、法规标准体系、规范监管执法、改革创新服务、技术支撑能力、监管信息化水平这六个方面谋划“十五五”期间的主要工作，对上述六项均需要提出定性的目标性要求，保障责任落实有方向。</w:t>
            </w:r>
          </w:p>
          <w:p w14:paraId="4B4B0F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3.2“十五五”时期量化目标</w:t>
            </w:r>
          </w:p>
          <w:p w14:paraId="606DC5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围绕“主要目标”细化各领域目标，以“强制性”“预期性”两类目标量化方式开展，目标制定均以数值明确提出，保障责任落实有要求。如制定出台监管协调制度性文件数量、产业创新服务政策数量、国家级职业化专业化检查员数量等。</w:t>
            </w:r>
          </w:p>
          <w:p w14:paraId="72EE6F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4、“十五五”重点任务及重大项目</w:t>
            </w:r>
          </w:p>
          <w:p w14:paraId="00C5B4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基于发展目标和药监职能开展重点任务举措的梳理，明确部分重大工程项目，以项目为抓手、以举措为依托保障各项工作稳步落实。</w:t>
            </w:r>
          </w:p>
          <w:p w14:paraId="4135A4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4.1完善监管治理体系，构建药品监管长效机制</w:t>
            </w:r>
          </w:p>
          <w:p w14:paraId="690C70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完善监管协调机制，打造事权明晰的药品监管“广西模式”。完善药品安全责任体系，规范有效落实监管责任。完善产业链风险会商程序，形成常态化药品安全防护机制。完善社会共治体系。</w:t>
            </w:r>
          </w:p>
          <w:p w14:paraId="21F5E0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4.2完善法规标准体系，坚持药品监管以良法促善治</w:t>
            </w:r>
          </w:p>
          <w:p w14:paraId="5DB8C7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健全法治建设体系，不断加强广西法治政府建设。加强法规制度宣贯，不断提升药品监管普法工作实效。健全质量标准体系，推动“广西标准”达到全国先进水平。</w:t>
            </w:r>
          </w:p>
          <w:p w14:paraId="3A8C17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4.3严格规范监管执法，打造全生命周期药品监管链条</w:t>
            </w:r>
          </w:p>
          <w:p w14:paraId="44D18E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持续深化药品全过程监管，坚守质量安全“生命线”。强化提升重点领域监管力度，聚焦质量安全突出问题。提升稽查执法水平，着力打造公正规范的稽查执法环境。加大执法办案力度，健全统一联动的执法办案工作机制。</w:t>
            </w:r>
          </w:p>
          <w:p w14:paraId="18EEB7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4.4深化改革创新服务，推动医药产业高质量发展</w:t>
            </w:r>
          </w:p>
          <w:p w14:paraId="405FD9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持续深化改革创新，丰富促进产业高质量发展的政策供给。深化审评审批制度改革，持续提高审评审批便利度服务产业创新发展。促进中医药传承创新，做大做强做优广西中药壮瑶药产业。支持引育新动能，打造中国－东盟跨境产业集群。鼓励跨区域产业融合，助力产业汇聚新质生产力。</w:t>
            </w:r>
          </w:p>
          <w:p w14:paraId="08B9EA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4.5提升技术支撑能力，适应广西药品产业发展特点</w:t>
            </w:r>
          </w:p>
          <w:p w14:paraId="60D662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深入开展监管科学研究，赋能新时代药品监管决策。提升技术审评能力，建设国内先进审评认证中心。强化检验检测能力，建立国内一流检验检测机构。完善不良反应监测评价体系，争创全国药物警戒示范区。推进人才队伍建设，打造业务精湛的药品监管“广西铁军”。    </w:t>
            </w:r>
          </w:p>
          <w:p w14:paraId="3788C7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4.6提升监管信息化水平，推动发挥智慧监管精准效能</w:t>
            </w:r>
          </w:p>
          <w:p w14:paraId="31E760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加快推进智慧监管数字化基础平台建设。升级完善智慧监管应用平台建设应用。保障推动重点品种全过程可追溯建设。</w:t>
            </w:r>
          </w:p>
          <w:p w14:paraId="4F429305">
            <w:pPr>
              <w:spacing w:line="360" w:lineRule="exact"/>
              <w:ind w:left="0"/>
              <w:rPr>
                <w:rFonts w:hint="eastAsia" w:ascii="仿宋_GB2312" w:eastAsia="仿宋_GB2312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Cs w:val="24"/>
                <w:lang w:val="en-US" w:eastAsia="zh-CN"/>
              </w:rPr>
              <w:t>5、保障措施</w:t>
            </w:r>
          </w:p>
          <w:p w14:paraId="0D8820C1">
            <w:pPr>
              <w:spacing w:line="360" w:lineRule="exact"/>
              <w:ind w:left="0"/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  <w:t>5.1组织保障（强化政治建设、正风肃纪）</w:t>
            </w:r>
          </w:p>
          <w:p w14:paraId="75B9F415">
            <w:pPr>
              <w:spacing w:line="360" w:lineRule="exact"/>
              <w:ind w:left="0"/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  <w:t>5.2机制保障（严格责任落实、追踪评估）</w:t>
            </w:r>
          </w:p>
          <w:p w14:paraId="252C6EB7">
            <w:pPr>
              <w:spacing w:line="360" w:lineRule="exact"/>
              <w:ind w:left="0"/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  <w:t>5.3政策保障（保障资源匹配、探索改革）</w:t>
            </w:r>
          </w:p>
          <w:p w14:paraId="1517DE50">
            <w:pPr>
              <w:pStyle w:val="3"/>
              <w:spacing w:after="0" w:line="360" w:lineRule="exact"/>
              <w:ind w:left="0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5.4环境保障（支持交流合作、社会共治）</w:t>
            </w:r>
          </w:p>
        </w:tc>
      </w:tr>
      <w:tr w14:paraId="4908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1" w:type="dxa"/>
            <w:gridSpan w:val="5"/>
          </w:tcPr>
          <w:p w14:paraId="2755BB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</w:rPr>
              <w:t>商务条款及其他要求</w:t>
            </w:r>
            <w:r>
              <w:rPr>
                <w:b/>
                <w:bCs/>
                <w:color w:val="000000"/>
                <w:szCs w:val="24"/>
              </w:rPr>
              <w:t>：</w:t>
            </w:r>
          </w:p>
        </w:tc>
      </w:tr>
      <w:tr w14:paraId="55FA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8" w:type="dxa"/>
            <w:gridSpan w:val="2"/>
            <w:vAlign w:val="center"/>
          </w:tcPr>
          <w:p w14:paraId="4CEACB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报价要求</w:t>
            </w:r>
          </w:p>
        </w:tc>
        <w:tc>
          <w:tcPr>
            <w:tcW w:w="6133" w:type="dxa"/>
            <w:gridSpan w:val="3"/>
          </w:tcPr>
          <w:p w14:paraId="25C13647">
            <w:pPr>
              <w:spacing w:line="360" w:lineRule="exact"/>
              <w:ind w:left="0"/>
              <w:rPr>
                <w:rFonts w:hint="eastAsia" w:asci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本项目报价采用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  <w:u w:val="single"/>
              </w:rPr>
              <w:t>总价包干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的方式，报价人的报价应包括：工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4"/>
                <w:highlight w:val="none"/>
              </w:rPr>
              <w:t>作人员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4"/>
                <w:highlight w:val="none"/>
                <w:lang w:eastAsia="zh-CN"/>
              </w:rPr>
              <w:t>的报酬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、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  <w:lang w:eastAsia="zh-CN"/>
              </w:rPr>
              <w:t>专家劳务费、调研费用、资料使用费、办公费、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税费、管理费</w:t>
            </w:r>
            <w:r>
              <w:rPr>
                <w:rFonts w:ascii="仿宋_GB2312" w:eastAsia="仿宋_GB2312" w:cs="仿宋_GB2312"/>
                <w:bCs/>
                <w:color w:val="auto"/>
                <w:szCs w:val="24"/>
                <w:highlight w:val="none"/>
              </w:rPr>
              <w:t>、验收费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等一切相关费用。成交人漏报项目或报价中漏报、少报的费用，视为此项费用已包含在报价总价中，成交后不得再向采购人收取任何费用。成交人应充分考虑影响报价的各种因素和风险，采购人不再支付成交金额以外的任何费用。</w:t>
            </w:r>
          </w:p>
        </w:tc>
      </w:tr>
      <w:tr w14:paraId="7124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88" w:type="dxa"/>
            <w:gridSpan w:val="2"/>
            <w:vAlign w:val="center"/>
          </w:tcPr>
          <w:p w14:paraId="29DB7B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服务期限及地点</w:t>
            </w:r>
          </w:p>
        </w:tc>
        <w:tc>
          <w:tcPr>
            <w:tcW w:w="6133" w:type="dxa"/>
            <w:gridSpan w:val="3"/>
          </w:tcPr>
          <w:p w14:paraId="556110E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contextualSpacing w:val="0"/>
              <w:jc w:val="both"/>
              <w:textAlignment w:val="auto"/>
              <w:rPr>
                <w:rFonts w:ascii="Times New Roman" w:hAnsi="Times New Roman" w:eastAsia="仿宋_GB2312" w:cs="Times New Roman"/>
                <w:vanish w:val="0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1、服务期限：签订合同之日起至202</w:t>
            </w:r>
            <w:r>
              <w:rPr>
                <w:rFonts w:hint="default" w:ascii="Times New Roman" w:eastAsia="仿宋_GB2312" w:cs="Times New Roman"/>
                <w:vanish w:val="0"/>
                <w:kern w:val="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年</w:t>
            </w:r>
            <w:r>
              <w:rPr>
                <w:rFonts w:hint="default" w:ascii="Times New Roman" w:eastAsia="仿宋_GB2312" w:cs="Times New Roman"/>
                <w:vanish w:val="0"/>
                <w:kern w:val="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月3</w:t>
            </w:r>
            <w:r>
              <w:rPr>
                <w:rFonts w:hint="default" w:ascii="Times New Roman" w:eastAsia="仿宋_GB2312" w:cs="Times New Roman"/>
                <w:vanish w:val="0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日止。</w:t>
            </w:r>
          </w:p>
          <w:p w14:paraId="6A3028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color w:val="000000"/>
                <w:sz w:val="21"/>
              </w:rPr>
            </w:pP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2、交货地点：南宁市指定地点。</w:t>
            </w:r>
          </w:p>
        </w:tc>
      </w:tr>
      <w:tr w14:paraId="32C3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88" w:type="dxa"/>
            <w:gridSpan w:val="2"/>
            <w:vAlign w:val="center"/>
          </w:tcPr>
          <w:p w14:paraId="3E5681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提交成果的具体形式</w:t>
            </w:r>
          </w:p>
        </w:tc>
        <w:tc>
          <w:tcPr>
            <w:tcW w:w="6133" w:type="dxa"/>
            <w:gridSpan w:val="3"/>
            <w:vAlign w:val="center"/>
          </w:tcPr>
          <w:p w14:paraId="4338DC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contextualSpacing w:val="0"/>
              <w:jc w:val="both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vanish w:val="0"/>
                <w:szCs w:val="24"/>
                <w:lang w:eastAsia="zh-CN"/>
              </w:rPr>
              <w:t>1.《广西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vanish w:val="0"/>
                <w:szCs w:val="24"/>
                <w:vertAlign w:val="baseline"/>
                <w:lang w:eastAsia="zh-CN"/>
              </w:rPr>
              <w:t>药品安全及高质量发展“十五五”规划》1份</w:t>
            </w:r>
            <w:r>
              <w:rPr>
                <w:rFonts w:ascii="仿宋_GB2312" w:eastAsia="仿宋_GB2312" w:cs="仿宋_GB2312"/>
                <w:b w:val="0"/>
                <w:bCs w:val="0"/>
                <w:caps w:val="0"/>
                <w:smallCaps w:val="0"/>
                <w:vanish w:val="0"/>
                <w:szCs w:val="24"/>
                <w:vertAlign w:val="baseline"/>
                <w:lang w:eastAsia="zh-CN"/>
              </w:rPr>
              <w:t>（含编制说明、实施方案）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vanish w:val="0"/>
                <w:szCs w:val="24"/>
                <w:vertAlign w:val="baseline"/>
                <w:lang w:eastAsia="zh-CN"/>
              </w:rPr>
              <w:t>。</w:t>
            </w:r>
          </w:p>
        </w:tc>
      </w:tr>
      <w:tr w14:paraId="692F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8" w:type="dxa"/>
            <w:gridSpan w:val="2"/>
            <w:vAlign w:val="center"/>
          </w:tcPr>
          <w:p w14:paraId="059C17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付款方式</w:t>
            </w:r>
          </w:p>
        </w:tc>
        <w:tc>
          <w:tcPr>
            <w:tcW w:w="6133" w:type="dxa"/>
            <w:gridSpan w:val="3"/>
          </w:tcPr>
          <w:p w14:paraId="67AB490E">
            <w:pPr>
              <w:pStyle w:val="4"/>
              <w:adjustRightInd w:val="0"/>
              <w:snapToGrid w:val="0"/>
              <w:spacing w:line="360" w:lineRule="exact"/>
              <w:ind w:left="0" w:firstLine="0"/>
              <w:rPr>
                <w:rFonts w:hint="eastAsia" w:ascii="仿宋_GB2312" w:eastAsia="仿宋_GB2312" w:cs="FangSong_GB2312"/>
              </w:rPr>
            </w:pPr>
            <w:r>
              <w:rPr>
                <w:rFonts w:hint="eastAsia" w:ascii="仿宋_GB2312" w:eastAsia="仿宋_GB2312" w:cs="FangSong_GB2312"/>
              </w:rPr>
              <w:t>在合同签订后1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0</w:t>
            </w:r>
            <w:r>
              <w:rPr>
                <w:rFonts w:hint="eastAsia" w:ascii="仿宋_GB2312" w:eastAsia="仿宋_GB2312" w:cs="FangSong_GB2312"/>
              </w:rPr>
              <w:t>个工作日内支付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服务</w:t>
            </w:r>
            <w:r>
              <w:rPr>
                <w:rFonts w:hint="eastAsia" w:ascii="仿宋_GB2312" w:eastAsia="仿宋_GB2312" w:cs="FangSong_GB2312"/>
              </w:rPr>
              <w:t>费用的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50%</w:t>
            </w:r>
            <w:r>
              <w:rPr>
                <w:rFonts w:hint="eastAsia" w:ascii="仿宋_GB2312" w:eastAsia="仿宋_GB2312" w:cs="FangSong_GB2312"/>
              </w:rPr>
              <w:t>；提交报告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初稿</w:t>
            </w:r>
            <w:r>
              <w:rPr>
                <w:rFonts w:hint="eastAsia" w:ascii="仿宋_GB2312" w:eastAsia="仿宋_GB2312" w:cs="FangSong_GB2312"/>
              </w:rPr>
              <w:t>后1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0</w:t>
            </w:r>
            <w:r>
              <w:rPr>
                <w:rFonts w:hint="eastAsia" w:ascii="仿宋_GB2312" w:eastAsia="仿宋_GB2312" w:cs="FangSong_GB2312"/>
              </w:rPr>
              <w:t>个工作日内支付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服务</w:t>
            </w:r>
            <w:r>
              <w:rPr>
                <w:rFonts w:hint="eastAsia" w:ascii="仿宋_GB2312" w:eastAsia="仿宋_GB2312" w:cs="FangSong_GB2312"/>
              </w:rPr>
              <w:t>费用的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25%</w:t>
            </w:r>
            <w:r>
              <w:rPr>
                <w:rFonts w:hint="eastAsia" w:ascii="仿宋_GB2312" w:eastAsia="仿宋_GB2312" w:cs="FangSong_GB2312"/>
                <w:lang w:eastAsia="zh-CN"/>
              </w:rPr>
              <w:t>；</w:t>
            </w:r>
            <w:r>
              <w:rPr>
                <w:rFonts w:hint="eastAsia" w:ascii="仿宋_GB2312" w:eastAsia="仿宋_GB2312" w:cs="FangSong_GB2312"/>
              </w:rPr>
              <w:t>最终报告通过验收后一个月内付清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服务</w:t>
            </w:r>
            <w:r>
              <w:rPr>
                <w:rFonts w:hint="eastAsia" w:ascii="仿宋_GB2312" w:eastAsia="仿宋_GB2312" w:cs="FangSong_GB2312"/>
              </w:rPr>
              <w:t>费用余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款25%</w:t>
            </w:r>
            <w:r>
              <w:rPr>
                <w:rFonts w:hint="eastAsia" w:ascii="仿宋_GB2312" w:eastAsia="仿宋_GB2312" w:cs="FangSong_GB2312"/>
              </w:rPr>
              <w:t>。</w:t>
            </w:r>
          </w:p>
        </w:tc>
      </w:tr>
      <w:tr w14:paraId="0CF5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8" w:type="dxa"/>
            <w:gridSpan w:val="2"/>
            <w:vAlign w:val="center"/>
          </w:tcPr>
          <w:p w14:paraId="1B89A8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知识产权</w:t>
            </w:r>
          </w:p>
        </w:tc>
        <w:tc>
          <w:tcPr>
            <w:tcW w:w="6133" w:type="dxa"/>
            <w:gridSpan w:val="3"/>
          </w:tcPr>
          <w:p w14:paraId="0ACBA9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4"/>
              </w:rPr>
              <w:t>本项目涉及的规划报告</w:t>
            </w:r>
            <w:r>
              <w:rPr>
                <w:rFonts w:hint="eastAsia" w:ascii="仿宋_GB2312" w:eastAsia="仿宋_GB2312" w:cs="Times New Roman"/>
                <w:color w:val="auto"/>
                <w:szCs w:val="24"/>
                <w:lang w:eastAsia="zh-CN"/>
              </w:rPr>
              <w:t>、编制成果</w:t>
            </w:r>
            <w:r>
              <w:rPr>
                <w:rFonts w:hint="eastAsia" w:ascii="仿宋_GB2312" w:eastAsia="仿宋_GB2312" w:cs="Times New Roman"/>
                <w:color w:val="auto"/>
                <w:szCs w:val="24"/>
              </w:rPr>
              <w:t>，成交人不得以任何形式提供给第三方。</w:t>
            </w:r>
          </w:p>
        </w:tc>
      </w:tr>
      <w:tr w14:paraId="1F82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88" w:type="dxa"/>
            <w:gridSpan w:val="2"/>
            <w:vAlign w:val="center"/>
          </w:tcPr>
          <w:p w14:paraId="6EC8A8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保密要求</w:t>
            </w:r>
          </w:p>
        </w:tc>
        <w:tc>
          <w:tcPr>
            <w:tcW w:w="6133" w:type="dxa"/>
            <w:gridSpan w:val="3"/>
          </w:tcPr>
          <w:p w14:paraId="71821F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hint="eastAsia" w:ascii="仿宋_GB2312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成交人有保密的责任和义务，未经采购人许可，不允许向第三方透露。</w:t>
            </w:r>
          </w:p>
        </w:tc>
      </w:tr>
    </w:tbl>
    <w:p w14:paraId="7A4B0A17">
      <w:pPr>
        <w:pStyle w:val="2"/>
        <w:rPr>
          <w:rFonts w:ascii="仿宋_GB2312" w:eastAsia="仿宋_GB2312"/>
          <w:color w:val="000000"/>
          <w:sz w:val="32"/>
          <w:szCs w:val="32"/>
        </w:rPr>
      </w:pPr>
    </w:p>
    <w:p w14:paraId="0470941C"/>
    <w:p w14:paraId="72CEB6BA">
      <w:pPr>
        <w:pStyle w:val="2"/>
      </w:pPr>
    </w:p>
    <w:p w14:paraId="592E2154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附件2：</w:t>
      </w:r>
    </w:p>
    <w:p w14:paraId="2B1B63FC">
      <w:pPr>
        <w:spacing w:line="5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报价函</w:t>
      </w:r>
    </w:p>
    <w:p w14:paraId="445F5C23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14:paraId="2196756B">
      <w:pPr>
        <w:spacing w:line="560" w:lineRule="exact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广西壮族自治区</w:t>
      </w:r>
      <w:r>
        <w:rPr>
          <w:rFonts w:ascii="仿宋_GB2312" w:eastAsia="仿宋_GB2312" w:cs="仿宋_GB2312"/>
          <w:bCs/>
          <w:kern w:val="0"/>
          <w:sz w:val="32"/>
          <w:szCs w:val="32"/>
          <w:lang w:eastAsia="zh-CN"/>
        </w:rPr>
        <w:t>药品监督管理局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：</w:t>
      </w:r>
    </w:p>
    <w:p w14:paraId="787C646B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cs="仿宋_GB2312"/>
          <w:bCs/>
          <w:kern w:val="0"/>
          <w:sz w:val="32"/>
          <w:szCs w:val="32"/>
        </w:rPr>
        <w:t>一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、本报价人愿意按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比选（询价）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文件及有关资料的要求承接</w:t>
      </w:r>
      <w:r>
        <w:rPr>
          <w:rFonts w:hint="eastAsia" w:ascii="仿宋_GB2312" w:eastAsia="仿宋_GB2312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32"/>
          <w:szCs w:val="32"/>
        </w:rPr>
        <w:t>××项目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。本报价人针对该项目费用的报价为（大写: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）（小写：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），实际合同费用以本次报价单价和实际数量结算。支付方式按本项目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价文件和合同书的规定执行。</w:t>
      </w:r>
    </w:p>
    <w:p w14:paraId="4A96CEF9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二、报价人承诺按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价文件及有关资料的要求完成本项目的工作任务。</w:t>
      </w:r>
    </w:p>
    <w:p w14:paraId="4F17513F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三、本报价人所递交的报价文件在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价文件规定的报价有效期限内有效，本报价人如中选，将受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价文件的约束。</w:t>
      </w:r>
    </w:p>
    <w:p w14:paraId="38A50088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</w:p>
    <w:p w14:paraId="6E28EB14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</w:p>
    <w:p w14:paraId="4BB5DE43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报  价  人（公章）：</w:t>
      </w:r>
    </w:p>
    <w:p w14:paraId="3763522E">
      <w:pPr>
        <w:spacing w:line="560" w:lineRule="exact"/>
        <w:ind w:firstLine="640"/>
        <w:rPr>
          <w:rFonts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法定代表人或委托代理人（签字或签章）：</w:t>
      </w:r>
    </w:p>
    <w:p w14:paraId="5AFA3EC0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</w:p>
    <w:p w14:paraId="6CCDA5F2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年   月   日</w:t>
      </w:r>
    </w:p>
    <w:p w14:paraId="0DFF32B1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4121278B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04022963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0666AED6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5EDE4F3F">
      <w:pPr>
        <w:pStyle w:val="2"/>
      </w:pPr>
    </w:p>
    <w:p w14:paraId="7249B839">
      <w:pPr>
        <w:jc w:val="both"/>
        <w:rPr>
          <w:rFonts w:hint="eastAsia" w:ascii="仿宋_GB2312" w:eastAsia="仿宋_GB2312" w:cs="方正小标宋简体"/>
          <w:bCs/>
          <w:kern w:val="0"/>
          <w:sz w:val="32"/>
          <w:szCs w:val="32"/>
        </w:rPr>
      </w:pPr>
      <w:r>
        <w:rPr>
          <w:rFonts w:hint="eastAsia" w:ascii="仿宋_GB2312" w:eastAsia="仿宋_GB2312" w:cs="方正小标宋简体"/>
          <w:bCs/>
          <w:kern w:val="0"/>
          <w:sz w:val="32"/>
          <w:szCs w:val="32"/>
        </w:rPr>
        <w:t>附件</w:t>
      </w:r>
      <w:r>
        <w:rPr>
          <w:rFonts w:ascii="仿宋_GB2312" w:eastAsia="仿宋_GB2312" w:cs="方正小标宋简体"/>
          <w:bCs/>
          <w:kern w:val="0"/>
          <w:sz w:val="32"/>
          <w:szCs w:val="32"/>
        </w:rPr>
        <w:t>3</w:t>
      </w:r>
      <w:r>
        <w:rPr>
          <w:rFonts w:hint="eastAsia" w:ascii="仿宋_GB2312" w:eastAsia="仿宋_GB2312" w:cs="方正小标宋简体"/>
          <w:bCs/>
          <w:kern w:val="0"/>
          <w:sz w:val="32"/>
          <w:szCs w:val="32"/>
        </w:rPr>
        <w:t>：</w:t>
      </w:r>
    </w:p>
    <w:p w14:paraId="64A1DD70">
      <w:pPr>
        <w:ind w:firstLine="3520" w:firstLineChars="800"/>
        <w:jc w:val="both"/>
        <w:rPr>
          <w:rFonts w:hint="eastAsia" w:asci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kern w:val="0"/>
          <w:sz w:val="44"/>
          <w:szCs w:val="44"/>
        </w:rPr>
        <w:t>报价</w:t>
      </w:r>
      <w:r>
        <w:rPr>
          <w:rFonts w:hint="eastAsia" w:ascii="方正小标宋简体" w:eastAsia="方正小标宋简体" w:cs="方正小标宋简体"/>
          <w:bCs/>
          <w:kern w:val="0"/>
          <w:sz w:val="44"/>
          <w:szCs w:val="44"/>
          <w:lang w:eastAsia="zh-CN"/>
        </w:rPr>
        <w:t>表</w:t>
      </w:r>
    </w:p>
    <w:p w14:paraId="4693C32C">
      <w:pPr>
        <w:spacing w:line="580" w:lineRule="exact"/>
        <w:jc w:val="center"/>
        <w:rPr>
          <w:rFonts w:hint="eastAsia" w:asci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8"/>
        <w:tblW w:w="9480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16"/>
        <w:gridCol w:w="3044"/>
        <w:gridCol w:w="1065"/>
        <w:gridCol w:w="855"/>
        <w:gridCol w:w="1680"/>
        <w:gridCol w:w="600"/>
      </w:tblGrid>
      <w:tr w14:paraId="2D1B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720" w:type="dxa"/>
            <w:noWrap/>
            <w:vAlign w:val="center"/>
          </w:tcPr>
          <w:p w14:paraId="16E72B1F">
            <w:pPr>
              <w:widowControl w:val="0"/>
              <w:jc w:val="center"/>
              <w:rPr>
                <w:rFonts w:hint="eastAsia" w:ascii="宋体" w:eastAsia="宋体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516" w:type="dxa"/>
            <w:noWrap/>
            <w:vAlign w:val="center"/>
          </w:tcPr>
          <w:p w14:paraId="67B0366D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ascii="宋体" w:eastAsia="宋体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（货物）</w:t>
            </w: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3044" w:type="dxa"/>
            <w:noWrap/>
            <w:vAlign w:val="center"/>
          </w:tcPr>
          <w:p w14:paraId="459A2699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内容和要求</w:t>
            </w:r>
          </w:p>
        </w:tc>
        <w:tc>
          <w:tcPr>
            <w:tcW w:w="1065" w:type="dxa"/>
            <w:noWrap/>
            <w:vAlign w:val="center"/>
          </w:tcPr>
          <w:p w14:paraId="310AA906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  <w:p w14:paraId="187427BB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①</w:t>
            </w:r>
          </w:p>
        </w:tc>
        <w:tc>
          <w:tcPr>
            <w:tcW w:w="855" w:type="dxa"/>
            <w:noWrap/>
            <w:vAlign w:val="center"/>
          </w:tcPr>
          <w:p w14:paraId="383989F7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单价</w:t>
            </w:r>
            <w:r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(</w:t>
            </w: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元</w:t>
            </w:r>
            <w:r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</w:p>
          <w:p w14:paraId="070C6264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②</w:t>
            </w:r>
          </w:p>
        </w:tc>
        <w:tc>
          <w:tcPr>
            <w:tcW w:w="1680" w:type="dxa"/>
            <w:noWrap/>
            <w:vAlign w:val="center"/>
          </w:tcPr>
          <w:p w14:paraId="7840108D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单项合价（元）</w:t>
            </w:r>
          </w:p>
          <w:p w14:paraId="6AC42AA8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③＝①×②</w:t>
            </w:r>
          </w:p>
        </w:tc>
        <w:tc>
          <w:tcPr>
            <w:tcW w:w="600" w:type="dxa"/>
            <w:noWrap/>
            <w:vAlign w:val="center"/>
          </w:tcPr>
          <w:p w14:paraId="12FED27D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1A3D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20" w:type="dxa"/>
            <w:noWrap/>
            <w:vAlign w:val="center"/>
          </w:tcPr>
          <w:p w14:paraId="174A6B60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493C7BD2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44" w:type="dxa"/>
            <w:noWrap/>
            <w:vAlign w:val="center"/>
          </w:tcPr>
          <w:p w14:paraId="2C321AD2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/>
            <w:vAlign w:val="center"/>
          </w:tcPr>
          <w:p w14:paraId="1248BB12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/>
            <w:vAlign w:val="center"/>
          </w:tcPr>
          <w:p w14:paraId="7A7E4963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/>
            <w:vAlign w:val="center"/>
          </w:tcPr>
          <w:p w14:paraId="7E2F37B1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noWrap/>
            <w:vAlign w:val="center"/>
          </w:tcPr>
          <w:p w14:paraId="268F167F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CCC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20" w:type="dxa"/>
            <w:noWrap/>
            <w:vAlign w:val="center"/>
          </w:tcPr>
          <w:p w14:paraId="4ADE663A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516" w:type="dxa"/>
            <w:noWrap/>
            <w:vAlign w:val="center"/>
          </w:tcPr>
          <w:p w14:paraId="5262503A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44" w:type="dxa"/>
            <w:noWrap/>
            <w:vAlign w:val="center"/>
          </w:tcPr>
          <w:p w14:paraId="15F66F44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/>
            <w:vAlign w:val="center"/>
          </w:tcPr>
          <w:p w14:paraId="75F8EA97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/>
            <w:vAlign w:val="center"/>
          </w:tcPr>
          <w:p w14:paraId="5306D154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/>
            <w:vAlign w:val="center"/>
          </w:tcPr>
          <w:p w14:paraId="76DD337C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noWrap/>
            <w:vAlign w:val="center"/>
          </w:tcPr>
          <w:p w14:paraId="7AFE529F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95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noWrap/>
            <w:vAlign w:val="center"/>
          </w:tcPr>
          <w:p w14:paraId="7E9FEF11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Arial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516" w:type="dxa"/>
            <w:noWrap/>
            <w:vAlign w:val="center"/>
          </w:tcPr>
          <w:p w14:paraId="11C11EEA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44" w:type="dxa"/>
            <w:noWrap/>
            <w:vAlign w:val="center"/>
          </w:tcPr>
          <w:p w14:paraId="22DEA430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/>
            <w:vAlign w:val="center"/>
          </w:tcPr>
          <w:p w14:paraId="2191D456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/>
            <w:vAlign w:val="center"/>
          </w:tcPr>
          <w:p w14:paraId="2115DC73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/>
            <w:vAlign w:val="center"/>
          </w:tcPr>
          <w:p w14:paraId="422C8888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noWrap/>
            <w:vAlign w:val="center"/>
          </w:tcPr>
          <w:p w14:paraId="6E688FB4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66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480" w:type="dxa"/>
            <w:gridSpan w:val="7"/>
            <w:noWrap/>
            <w:vAlign w:val="center"/>
          </w:tcPr>
          <w:p w14:paraId="62EF346D">
            <w:pPr>
              <w:widowControl w:val="0"/>
              <w:jc w:val="both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报价合计（包含税费等所有费用）：（大写）人民币      （￥        元）</w:t>
            </w:r>
          </w:p>
        </w:tc>
      </w:tr>
      <w:tr w14:paraId="2A0B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0" w:type="dxa"/>
            <w:gridSpan w:val="7"/>
            <w:noWrap/>
            <w:vAlign w:val="center"/>
          </w:tcPr>
          <w:p w14:paraId="6D56A8D3">
            <w:pPr>
              <w:widowControl w:val="0"/>
              <w:jc w:val="left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报价人（公章）：</w:t>
            </w:r>
          </w:p>
        </w:tc>
      </w:tr>
      <w:tr w14:paraId="23AE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0" w:type="dxa"/>
            <w:gridSpan w:val="7"/>
            <w:noWrap/>
            <w:vAlign w:val="center"/>
          </w:tcPr>
          <w:p w14:paraId="323397C5">
            <w:pPr>
              <w:widowControl w:val="0"/>
              <w:jc w:val="left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法定代表人或其委托代理人（签字或盖章）：</w:t>
            </w:r>
          </w:p>
        </w:tc>
      </w:tr>
      <w:tr w14:paraId="5243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0" w:type="dxa"/>
            <w:gridSpan w:val="7"/>
            <w:noWrap/>
            <w:vAlign w:val="center"/>
          </w:tcPr>
          <w:p w14:paraId="31A91ABD">
            <w:pPr>
              <w:widowControl w:val="0"/>
              <w:jc w:val="left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日 期：</w:t>
            </w:r>
            <w:r>
              <w:rPr>
                <w:rFonts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年     月     日</w:t>
            </w:r>
          </w:p>
        </w:tc>
      </w:tr>
    </w:tbl>
    <w:p w14:paraId="70549DD9">
      <w:pPr>
        <w:spacing w:line="500" w:lineRule="exact"/>
        <w:ind w:left="17" w:leftChars="7" w:firstLine="472" w:firstLineChars="168"/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1.表格内容均须按要求填写并盖章，不得留空（备注栏无备注内容的，应填“无”），否则按报价无效处理。</w:t>
      </w:r>
    </w:p>
    <w:p w14:paraId="6191FD67">
      <w:pPr>
        <w:spacing w:line="500" w:lineRule="exact"/>
        <w:ind w:left="17" w:leftChars="7" w:firstLine="470" w:firstLineChars="168"/>
        <w:rPr>
          <w:rFonts w:hint="eastAsia" w:ascii="仿宋_GB2312" w:eastAsia="仿宋_GB2312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2.供应商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必须就“采购需求一览表”中服务内容作完整唯一报价，否则，其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eastAsia="zh-CN"/>
        </w:rPr>
        <w:t>报价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将被拒绝。响应文件只允许有一个报价，有选择的或有条件的报价将不予接受。</w:t>
      </w:r>
    </w:p>
    <w:p w14:paraId="4076C72A">
      <w:pPr>
        <w:spacing w:line="500" w:lineRule="exact"/>
        <w:ind w:left="17" w:leftChars="7" w:firstLine="470" w:firstLineChars="168"/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报价表须由法定代表人或委托代理人签名（或盖章）并加盖供应商公章。报价若此表由多页构成的，需逐页加盖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eastAsia="zh-CN"/>
        </w:rPr>
        <w:t>报价人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公章并由法定代表人或委托代理人签名。</w:t>
      </w:r>
    </w:p>
    <w:p w14:paraId="76BBE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rPr>
          <w:rFonts w:hint="eastAsia" w:ascii="仿宋_GB2312" w:eastAsia="仿宋_GB2312" w:cs="仿宋_GB2312"/>
          <w:b w:val="0"/>
          <w:bCs w:val="0"/>
          <w:kern w:val="0"/>
          <w:sz w:val="28"/>
          <w:szCs w:val="28"/>
          <w:lang w:val="en-US" w:eastAsia="zh-CN" w:bidi="hi-IN"/>
        </w:rPr>
      </w:pPr>
    </w:p>
    <w:p w14:paraId="623BFA42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</w:p>
    <w:p w14:paraId="0913AC80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</w:p>
    <w:p w14:paraId="5BB34DFF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</w:p>
    <w:p w14:paraId="36AD22F2">
      <w:pPr>
        <w:pStyle w:val="2"/>
      </w:pPr>
    </w:p>
    <w:p w14:paraId="25A995A6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附件4</w:t>
      </w:r>
    </w:p>
    <w:p w14:paraId="6AF4EF4F">
      <w:pPr>
        <w:tabs>
          <w:tab w:val="left" w:pos="7560"/>
        </w:tabs>
        <w:spacing w:line="560" w:lineRule="exact"/>
        <w:ind w:left="0" w:firstLine="3080" w:firstLineChars="700"/>
      </w:pP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44"/>
          <w:szCs w:val="44"/>
          <w:lang w:eastAsia="zh-CN"/>
        </w:rPr>
        <w:t>比选</w:t>
      </w:r>
      <w:r>
        <w:rPr>
          <w:rFonts w:ascii="方正小标宋简体" w:eastAsia="方正小标宋简体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44"/>
          <w:szCs w:val="44"/>
        </w:rPr>
        <w:t>办法</w:t>
      </w:r>
    </w:p>
    <w:tbl>
      <w:tblPr>
        <w:tblStyle w:val="8"/>
        <w:tblpPr w:leftFromText="180" w:rightFromText="180" w:vertAnchor="text" w:horzAnchor="page" w:tblpX="1699" w:tblpY="945"/>
        <w:tblOverlap w:val="never"/>
        <w:tblW w:w="953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12"/>
        <w:gridCol w:w="5321"/>
      </w:tblGrid>
      <w:tr w14:paraId="2CC21F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Header/>
        </w:trPr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2896E0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  <w:lang w:bidi="ar-SA"/>
              </w:rPr>
              <w:t>评定内容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C73AEB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分值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096BFD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标准</w:t>
            </w:r>
          </w:p>
        </w:tc>
      </w:tr>
    </w:tbl>
    <w:tbl>
      <w:tblPr>
        <w:tblStyle w:val="8"/>
        <w:tblpPr w:leftFromText="180" w:rightFromText="180" w:vertAnchor="text" w:horzAnchor="page" w:tblpX="1714" w:tblpY="1647"/>
        <w:tblOverlap w:val="never"/>
        <w:tblW w:w="953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2065"/>
        <w:gridCol w:w="812"/>
        <w:gridCol w:w="5321"/>
      </w:tblGrid>
      <w:tr w14:paraId="684713F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FFC85F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价格分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5F5068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最低价为基准价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943187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9CEB68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contextualSpacing w:val="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满足招标采购要求的最低报价为基准价（财政部令第87号令明确规定“有可能影响产品质量或者不能诚信履约的”作为无效投标处理。），其得分为20分。价格得分 =（基准价÷最后报价）×20分。</w:t>
            </w:r>
          </w:p>
        </w:tc>
      </w:tr>
      <w:tr w14:paraId="463A788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B8CB74C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方案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150A5C5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实施方案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8C42787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C4D431C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一档（0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：未提供项目实施方案的不得分。</w:t>
            </w:r>
          </w:p>
          <w:p w14:paraId="2D41AAD5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二档（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）：项目实施方案基本满足采购需求的“项目要求及技术需求”内容，方案工作措施、工作方法不具体；人员配置、工作经验、工作手段、工作流程基本合理，可操作性不强。</w:t>
            </w:r>
          </w:p>
          <w:p w14:paraId="070F7434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三档（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项目实施方案满足购需求的“项目要求及技术需求”全部内容，方案的工作措施、工作方法具体可行且依据项目具体情况采取有效的措施，符合规范要求；人员配置合理、有相关工作经验，工作手段、工作流程科学，可操作性较强。</w:t>
            </w:r>
          </w:p>
          <w:p w14:paraId="58FB6BC1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四档（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项目实施方案满足采购需求的“项目要求及技术需求”全部内容，方案的工作措施、工作方法先进、有效、且依据项目具体情况采取有针对性的措施，符合规范要求；人员配置充足、工作经验丰富，工作手段、工作流程计划科学、安排合理，可操作性强，对项目有保障。</w:t>
            </w:r>
          </w:p>
          <w:p w14:paraId="213330FC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五档（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项目实施方案完全满足采购需求的“项目要求及技术需求”全部内容，方案的工作措施、工作方法先进、科学、成熟且依据项目具体情况采取有针对性的措施、措施详细完整，符合规范要求；人员配置充足、安排合理、工作经验丰富、能力强，工作手段、工作流程计划科学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理、安排紧凑合理，可操作性强，对项目保障力度大。</w:t>
            </w:r>
          </w:p>
        </w:tc>
      </w:tr>
      <w:tr w14:paraId="5513780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CCADBD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技术方案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1B4332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质量控制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28F994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53C3B1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一档（0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：未提供项目质量控制方案的不得分。</w:t>
            </w:r>
          </w:p>
          <w:p w14:paraId="7B0BC656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二档（5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：项目进度控制措施（包含项目时间安排、各项工作进度计划、业务管理及内部服务等内容）、质量控制措施、安全保证机制、数据安全保密方案等内容描述沉杂，较为笼统、欠缺。</w:t>
            </w:r>
          </w:p>
          <w:p w14:paraId="19BDA6BF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三档（10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：项目进度控制措施（包含项目时间安排、各项工作进度计划、业务管理及内部服务等内容）、质量控制措施合理；数据检查、质量把控以及反馈纠错措施可行；安全保证和数据保密机制可行。</w:t>
            </w:r>
          </w:p>
          <w:p w14:paraId="50304293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四档（15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科学、全面；项目过程的质量控制有保障机制；数据检查、质量控制以及反馈纠错措施完善；安全保证和数据保密机制可行、有效。</w:t>
            </w:r>
          </w:p>
          <w:p w14:paraId="514FC4F3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五档（20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科学、具体、完善；项目全过程的质量控制保障机制规范有效；数据检查及时，质量控制以及反馈纠错措施完善；安全保证和数据保密机制切实可行、措施效果明显。</w:t>
            </w:r>
          </w:p>
        </w:tc>
      </w:tr>
      <w:tr w14:paraId="35E1C5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5E1FED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团队服务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5E60CF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人员构成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49BD99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A0E128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60" w:lineRule="exact"/>
              <w:ind w:left="0"/>
              <w:jc w:val="both"/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1.拟投入本项目的实施人员具有正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高级职称的每人得5分，此项最多得10分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；副高职称的每人得4分，此项最多得8分；</w:t>
            </w:r>
          </w:p>
          <w:p w14:paraId="3F6836BA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60" w:lineRule="exact"/>
              <w:ind w:left="0"/>
              <w:jc w:val="both"/>
              <w:rPr>
                <w:rFonts w:ascii="Times New Roman" w:hAnsi="Times New Roman" w:eastAsia="仿宋_GB2312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2.拟投入本项目的实施人员具有5年以上相关经验的，每提供一人得2分，此项最多得10分；3年以上相关经验的，每提供一人得1分，此项最多得8分。</w:t>
            </w:r>
          </w:p>
        </w:tc>
      </w:tr>
      <w:tr w14:paraId="4F1C32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DFF552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其他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AD3725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项目业绩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4CFF0C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1E5212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以来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相同或类似项目业绩的每个得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分，满分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分。（提供合同或中标（成交）通知书复印件加盖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单位公章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4D0862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E060A3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合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计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6A2DF6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4FC505">
            <w:pPr>
              <w:keepNext/>
              <w:keepLines w:val="0"/>
              <w:widowControl w:val="0"/>
              <w:suppressLineNumbers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3D6EC67E"/>
    <w:p w14:paraId="63F171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08788"/>
    <w:multiLevelType w:val="multilevel"/>
    <w:tmpl w:val="F7B08788"/>
    <w:lvl w:ilvl="0" w:tentative="0">
      <w:start w:val="1"/>
      <w:numFmt w:val="chineseCountingThousand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3B10"/>
    <w:rsid w:val="048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spacing w:line="312" w:lineRule="auto"/>
      <w:ind w:firstLine="540"/>
      <w:jc w:val="both"/>
    </w:pPr>
    <w:rPr>
      <w:rFonts w:ascii="楷体_GB2312" w:hAnsi="Times New Roman" w:eastAsia="楷体_GB2312" w:cs="楷体_GB2312"/>
      <w:kern w:val="2"/>
      <w:sz w:val="24"/>
      <w:szCs w:val="24"/>
      <w:lang w:val="en-US" w:eastAsia="zh-CN" w:bidi="ar-SA"/>
    </w:rPr>
  </w:style>
  <w:style w:type="paragraph" w:styleId="5">
    <w:name w:val="index 7"/>
    <w:basedOn w:val="1"/>
    <w:next w:val="1"/>
    <w:qFormat/>
    <w:uiPriority w:val="0"/>
    <w:pPr>
      <w:ind w:left="2520"/>
    </w:pPr>
    <w:rPr>
      <w:rFonts w:ascii="黑体" w:eastAsia="黑体"/>
      <w:sz w:val="32"/>
      <w:szCs w:val="32"/>
    </w:rPr>
  </w:style>
  <w:style w:type="paragraph" w:styleId="6">
    <w:name w:val="Plain Text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2025-05-26T08:22:00Z</dcterms:created>
  <dc:creator>泱</dc:creator>
  <cp:lastModifiedBy>泱</cp:lastModifiedBy>
  <dcterms:modified xsi:type="dcterms:W3CDTF">2025-05-26T08:22:22Z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1CA71B5D5A234624A63B3B84376B5788_11</vt:lpwstr>
  </property>
  <property fmtid="{D5CDD505-2E9C-101B-9397-08002B2CF9AE}" pid="4" name="KSOTemplateDocerSaveRecord">
    <vt:lpwstr>eyJoZGlkIjoiZjJjMmFiMDZkYjEyZjg3MDBhY2QwOWE5ZDQ2N2EyOTYiLCJ1c2VySWQiOiIzMzM3OTU4NjIifQ==</vt:lpwstr>
  </property>
</Properties>
</file>