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textAlignment w:val="baseline"/>
        <w:rPr>
          <w:rFonts w:ascii="黑体" w:hAnsi="Times New Roman" w:eastAsia="黑体" w:cs="黑体"/>
          <w:sz w:val="32"/>
          <w:szCs w:val="32"/>
          <w:lang w:eastAsia="zh-CN"/>
        </w:rPr>
      </w:pPr>
      <w:r>
        <w:rPr>
          <w:rFonts w:hint="eastAsia" w:ascii="黑体" w:hAnsi="Times New Roman" w:eastAsia="黑体" w:cs="黑体"/>
          <w:sz w:val="32"/>
          <w:szCs w:val="32"/>
          <w:lang w:eastAsia="zh-CN"/>
        </w:rPr>
        <w:t>附件1</w:t>
      </w:r>
    </w:p>
    <w:p>
      <w:pPr>
        <w:widowControl w:val="0"/>
        <w:suppressAutoHyphens/>
        <w:snapToGrid w:val="0"/>
        <w:spacing w:before="0" w:line="640" w:lineRule="exact"/>
        <w:ind w:left="0" w:right="0"/>
        <w:jc w:val="center"/>
        <w:textAlignment w:val="baseline"/>
        <w:rPr>
          <w:rFonts w:ascii="方正小标宋简体" w:hAnsi="Times New Roman" w:eastAsia="方正小标宋简体" w:cs="方正小标宋简体"/>
          <w:b w:val="0"/>
          <w:bCs w:val="0"/>
          <w:kern w:val="2"/>
          <w:sz w:val="44"/>
          <w:szCs w:val="44"/>
          <w:lang w:val="en-US" w:eastAsia="zh-CN" w:bidi="ar-SA"/>
        </w:rPr>
      </w:pPr>
    </w:p>
    <w:p>
      <w:pPr>
        <w:widowControl w:val="0"/>
        <w:suppressAutoHyphens/>
        <w:snapToGrid w:val="0"/>
        <w:spacing w:before="0" w:line="640" w:lineRule="exact"/>
        <w:ind w:left="0" w:right="0"/>
        <w:jc w:val="center"/>
        <w:textAlignment w:val="baseline"/>
        <w:rPr>
          <w:rFonts w:ascii="方正小标宋简体" w:hAnsi="Times New Roman" w:eastAsia="方正小标宋简体" w:cs="方正小标宋简体"/>
          <w:b w:val="0"/>
          <w:bCs w:val="0"/>
          <w:kern w:val="2"/>
          <w:sz w:val="44"/>
          <w:szCs w:val="44"/>
          <w:lang w:val="en-US" w:eastAsia="zh-CN" w:bidi="ar-SA"/>
        </w:rPr>
      </w:pPr>
      <w:r>
        <w:rPr>
          <w:rFonts w:hint="eastAsia" w:ascii="方正小标宋简体" w:hAnsi="Times New Roman" w:eastAsia="方正小标宋简体" w:cs="方正小标宋简体"/>
          <w:b w:val="0"/>
          <w:bCs w:val="0"/>
          <w:kern w:val="2"/>
          <w:sz w:val="44"/>
          <w:szCs w:val="44"/>
          <w:lang w:val="en-US" w:eastAsia="zh-CN" w:bidi="ar-SA"/>
        </w:rPr>
        <w:t>中国药科大学2022年高等学历继续教育</w:t>
      </w:r>
    </w:p>
    <w:p>
      <w:pPr>
        <w:widowControl w:val="0"/>
        <w:suppressAutoHyphens/>
        <w:snapToGrid w:val="0"/>
        <w:spacing w:before="0" w:line="640" w:lineRule="exact"/>
        <w:ind w:left="0" w:right="0"/>
        <w:jc w:val="center"/>
        <w:textAlignment w:val="baseline"/>
        <w:rPr>
          <w:rFonts w:ascii="方正小标宋简体" w:hAnsi="Times New Roman" w:eastAsia="方正小标宋简体" w:cs="方正小标宋简体"/>
          <w:b w:val="0"/>
          <w:bCs w:val="0"/>
          <w:kern w:val="2"/>
          <w:sz w:val="44"/>
          <w:szCs w:val="44"/>
          <w:lang w:val="en-US" w:eastAsia="zh-CN" w:bidi="ar-SA"/>
        </w:rPr>
      </w:pPr>
      <w:r>
        <w:rPr>
          <w:rFonts w:hint="eastAsia" w:ascii="方正小标宋简体" w:hAnsi="Times New Roman" w:eastAsia="方正小标宋简体" w:cs="方正小标宋简体"/>
          <w:b w:val="0"/>
          <w:bCs w:val="0"/>
          <w:kern w:val="2"/>
          <w:sz w:val="44"/>
          <w:szCs w:val="44"/>
          <w:lang w:val="en-US" w:eastAsia="zh-CN" w:bidi="ar-SA"/>
        </w:rPr>
        <w:t>招生简章</w:t>
      </w:r>
    </w:p>
    <w:p>
      <w:pPr>
        <w:widowControl w:val="0"/>
        <w:suppressAutoHyphens/>
        <w:snapToGrid w:val="0"/>
        <w:spacing w:line="640" w:lineRule="exact"/>
        <w:ind w:left="0"/>
        <w:jc w:val="center"/>
        <w:textAlignment w:val="baseline"/>
        <w:outlineLvl w:val="0"/>
        <w:rPr>
          <w:rFonts w:ascii="宋体" w:hAnsi="Times New Roman" w:eastAsia="宋体" w:cs="宋体"/>
          <w:b w:val="0"/>
          <w:bCs/>
          <w:kern w:val="2"/>
          <w:sz w:val="32"/>
          <w:szCs w:val="32"/>
          <w:lang w:val="en-US" w:eastAsia="zh-CN" w:bidi="ar-SA"/>
        </w:rPr>
      </w:pPr>
      <w:bookmarkStart w:id="0" w:name="_GoBack"/>
      <w:bookmarkEnd w:id="0"/>
    </w:p>
    <w:p>
      <w:pPr>
        <w:widowControl w:val="0"/>
        <w:suppressAutoHyphens/>
        <w:snapToGrid w:val="0"/>
        <w:spacing w:line="590" w:lineRule="exact"/>
        <w:ind w:left="0" w:firstLine="640" w:firstLineChars="200"/>
        <w:jc w:val="both"/>
        <w:textAlignment w:val="baseline"/>
        <w:outlineLvl w:val="0"/>
        <w:rPr>
          <w:rFonts w:ascii="Times New Roman" w:hAnsi="Times New Roman" w:eastAsia="仿宋_GB2312" w:cs="Times New Roman"/>
          <w:b w:val="0"/>
          <w:bCs/>
          <w:kern w:val="2"/>
          <w:sz w:val="32"/>
          <w:szCs w:val="32"/>
          <w:lang w:val="en-US" w:eastAsia="zh-CN" w:bidi="ar-SA"/>
        </w:rPr>
      </w:pPr>
      <w:r>
        <w:rPr>
          <w:rFonts w:ascii="Times New Roman" w:hAnsi="Times New Roman" w:eastAsia="仿宋_GB2312" w:cs="Times New Roman"/>
          <w:b w:val="0"/>
          <w:bCs/>
          <w:kern w:val="2"/>
          <w:sz w:val="32"/>
          <w:szCs w:val="32"/>
          <w:lang w:val="en-US" w:eastAsia="zh-CN" w:bidi="ar-SA"/>
        </w:rPr>
        <w:t>中国药科大学坐落于古都南京。是一所历史悠久、特色鲜明、学风优良、在药学界享有盛誉的教育部直属、国家“211工程”和国家“双一流”建设高校</w:t>
      </w:r>
      <w:r>
        <w:rPr>
          <w:rFonts w:hint="eastAsia" w:ascii="Times New Roman" w:hAnsi="Times New Roman" w:eastAsia="仿宋_GB2312" w:cs="Times New Roman"/>
          <w:b w:val="0"/>
          <w:bCs/>
          <w:kern w:val="2"/>
          <w:sz w:val="32"/>
          <w:szCs w:val="32"/>
          <w:lang w:val="en-US" w:eastAsia="zh-CN" w:bidi="ar-SA"/>
        </w:rPr>
        <w:t>（</w:t>
      </w:r>
      <w:r>
        <w:rPr>
          <w:rFonts w:ascii="Times New Roman" w:hAnsi="Times New Roman" w:eastAsia="仿宋_GB2312" w:cs="Times New Roman"/>
          <w:b w:val="0"/>
          <w:bCs/>
          <w:kern w:val="2"/>
          <w:sz w:val="32"/>
          <w:szCs w:val="32"/>
          <w:lang w:val="en-US" w:eastAsia="zh-CN" w:bidi="ar-SA"/>
        </w:rPr>
        <w:t>一流学科</w:t>
      </w:r>
      <w:r>
        <w:rPr>
          <w:rFonts w:hint="eastAsia" w:ascii="Times New Roman" w:hAnsi="Times New Roman" w:eastAsia="仿宋_GB2312" w:cs="Times New Roman"/>
          <w:b w:val="0"/>
          <w:bCs/>
          <w:kern w:val="2"/>
          <w:sz w:val="32"/>
          <w:szCs w:val="32"/>
          <w:lang w:val="en-US" w:eastAsia="zh-CN" w:bidi="ar-SA"/>
        </w:rPr>
        <w:t>）</w:t>
      </w:r>
      <w:r>
        <w:rPr>
          <w:rFonts w:ascii="Times New Roman" w:hAnsi="Times New Roman" w:eastAsia="仿宋_GB2312" w:cs="Times New Roman"/>
          <w:b w:val="0"/>
          <w:bCs/>
          <w:kern w:val="2"/>
          <w:sz w:val="32"/>
          <w:szCs w:val="32"/>
          <w:lang w:val="en-US" w:eastAsia="zh-CN" w:bidi="ar-SA"/>
        </w:rPr>
        <w:t>，是我国首批具有博士、硕士学位授予权的高等学校之一。</w:t>
      </w:r>
    </w:p>
    <w:p>
      <w:pPr>
        <w:widowControl w:val="0"/>
        <w:suppressAutoHyphens/>
        <w:snapToGrid w:val="0"/>
        <w:spacing w:line="590" w:lineRule="exact"/>
        <w:ind w:left="0" w:firstLine="640" w:firstLineChars="200"/>
        <w:jc w:val="both"/>
        <w:textAlignment w:val="baseline"/>
        <w:outlineLvl w:val="0"/>
        <w:rPr>
          <w:rFonts w:ascii="Times New Roman" w:hAnsi="Times New Roman" w:eastAsia="仿宋_GB2312" w:cs="Times New Roman"/>
          <w:b w:val="0"/>
          <w:bCs/>
          <w:kern w:val="2"/>
          <w:sz w:val="32"/>
          <w:szCs w:val="32"/>
          <w:lang w:val="en-US" w:eastAsia="zh-CN" w:bidi="ar-SA"/>
        </w:rPr>
      </w:pPr>
      <w:r>
        <w:rPr>
          <w:rFonts w:ascii="Times New Roman" w:hAnsi="Times New Roman" w:eastAsia="仿宋_GB2312" w:cs="Times New Roman"/>
          <w:b w:val="0"/>
          <w:bCs/>
          <w:kern w:val="2"/>
          <w:sz w:val="32"/>
          <w:szCs w:val="32"/>
          <w:lang w:val="en-US" w:eastAsia="zh-CN" w:bidi="ar-SA"/>
        </w:rPr>
        <w:t>80多年来，中国药科大学秉承“精业济群”的校训精神，以“培育药界精英、研发普惠良药、贡献幸福生活”为使命，坚持“学术第一、师生为本、共生共赢”的理念，兴药为民，荣校报国，努力成为“全球最受尊敬的药学高等学府”。存心以仁，任事以诚，兴药为民，荣校报国，积淀了深厚的文化底蕴，铸就了独特的治校品格，现已发展成为以药学为特色，理、工、经、管、文等学科协调发展的多科性大学。</w:t>
      </w:r>
    </w:p>
    <w:p>
      <w:pPr>
        <w:widowControl w:val="0"/>
        <w:suppressAutoHyphens/>
        <w:snapToGrid w:val="0"/>
        <w:spacing w:line="590" w:lineRule="exact"/>
        <w:ind w:left="0" w:firstLine="640" w:firstLineChars="200"/>
        <w:jc w:val="both"/>
        <w:textAlignment w:val="baseline"/>
        <w:outlineLvl w:val="0"/>
        <w:rPr>
          <w:rFonts w:ascii="Times New Roman" w:hAnsi="Times New Roman" w:eastAsia="仿宋_GB2312" w:cs="Times New Roman"/>
          <w:b w:val="0"/>
          <w:bCs/>
          <w:kern w:val="2"/>
          <w:sz w:val="32"/>
          <w:szCs w:val="32"/>
          <w:lang w:val="en-US" w:eastAsia="zh-CN" w:bidi="ar-SA"/>
        </w:rPr>
      </w:pPr>
      <w:r>
        <w:rPr>
          <w:rFonts w:ascii="Times New Roman" w:hAnsi="Times New Roman" w:eastAsia="仿宋_GB2312" w:cs="Times New Roman"/>
          <w:b w:val="0"/>
          <w:bCs/>
          <w:kern w:val="2"/>
          <w:sz w:val="32"/>
          <w:szCs w:val="32"/>
          <w:lang w:val="en-US" w:eastAsia="zh-CN" w:bidi="ar-SA"/>
        </w:rPr>
        <w:t>近年来，在“互联网+教育”的时代背景下，继续教育学院着力加大教育教学投入，加快信息化建设步伐，积极开展混合式教学改革实践，营造了“时时能学、处处可学、人人皆学”的优 良育人环境。新时期，继续教育学院将进一步弘扬“ 自觉、求是、至善、济群”的院训精神，不忘初心、牢记使命，积极服务于国家战略发展需要，以构建药学终身教育体系和办成国内外最受尊敬的药学继续教育为目标，锐意改革、创新发展、提档升级，努力为学校的双一流建设和健康中国建设做出更大的贡献。</w:t>
      </w:r>
    </w:p>
    <w:p>
      <w:pPr>
        <w:widowControl w:val="0"/>
        <w:suppressAutoHyphens/>
        <w:snapToGrid w:val="0"/>
        <w:spacing w:line="590" w:lineRule="exact"/>
        <w:ind w:left="0" w:firstLine="640" w:firstLineChars="200"/>
        <w:jc w:val="both"/>
        <w:textAlignment w:val="baseline"/>
        <w:outlineLvl w:val="0"/>
        <w:rPr>
          <w:rFonts w:ascii="Times New Roman" w:hAnsi="Times New Roman" w:eastAsia="黑体"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t>一、招生对象</w:t>
      </w:r>
    </w:p>
    <w:p>
      <w:pPr>
        <w:tabs>
          <w:tab w:val="left" w:pos="840"/>
        </w:tabs>
        <w:suppressAutoHyphens/>
        <w:snapToGrid w:val="0"/>
        <w:spacing w:line="590" w:lineRule="exact"/>
        <w:ind w:firstLine="640" w:firstLineChars="200"/>
        <w:textAlignment w:val="baseline"/>
        <w:rPr>
          <w:rFonts w:ascii="Times New Roman" w:hAnsi="Times New Roman" w:eastAsia="仿宋_GB2312" w:cs="Times New Roman"/>
          <w:sz w:val="32"/>
          <w:szCs w:val="32"/>
          <w:lang w:eastAsia="ar-SA"/>
        </w:rPr>
      </w:pPr>
      <w:r>
        <w:rPr>
          <w:rFonts w:ascii="Times New Roman" w:hAnsi="Times New Roman" w:eastAsia="仿宋_GB2312" w:cs="Times New Roman"/>
          <w:sz w:val="32"/>
          <w:szCs w:val="32"/>
          <w:lang w:eastAsia="zh-CN"/>
        </w:rPr>
        <w:t>凡持有国民教育系列的专科及以上毕业证书者（学信网可查）可报考专升本（专科起点本科）；本科就读第二学历（本科学历者报考第二学历仍需参加全国统一的成人高考）。</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二、专业、学习年限、学习方式及收费</w:t>
      </w:r>
    </w:p>
    <w:p>
      <w:pPr>
        <w:tabs>
          <w:tab w:val="left" w:pos="840"/>
        </w:tabs>
        <w:suppressAutoHyphens/>
        <w:snapToGrid w:val="0"/>
        <w:spacing w:line="590" w:lineRule="exact"/>
        <w:ind w:firstLine="640" w:firstLineChars="200"/>
        <w:textAlignment w:val="baseline"/>
        <w:rPr>
          <w:rFonts w:ascii="Times New Roman" w:hAnsi="Times New Roman" w:eastAsia="仿宋_GB2312" w:cs="Times New Roman"/>
          <w:sz w:val="32"/>
          <w:szCs w:val="32"/>
          <w:lang w:eastAsia="zh-CN"/>
        </w:rPr>
      </w:pPr>
      <w:r>
        <w:rPr>
          <w:rFonts w:hint="eastAsia" w:ascii="楷体_GB2312" w:hAnsi="Times New Roman" w:eastAsia="楷体_GB2312" w:cs="Times New Roman"/>
          <w:sz w:val="32"/>
          <w:szCs w:val="32"/>
          <w:lang w:eastAsia="zh-CN"/>
        </w:rPr>
        <w:t>（一）开设专业：</w:t>
      </w:r>
      <w:r>
        <w:rPr>
          <w:rFonts w:ascii="Times New Roman" w:hAnsi="Times New Roman" w:eastAsia="仿宋_GB2312" w:cs="Times New Roman"/>
          <w:sz w:val="32"/>
          <w:szCs w:val="32"/>
          <w:lang w:eastAsia="zh-CN"/>
        </w:rPr>
        <w:t xml:space="preserve">药学、中药学     </w:t>
      </w:r>
    </w:p>
    <w:p>
      <w:pPr>
        <w:tabs>
          <w:tab w:val="left" w:pos="840"/>
        </w:tabs>
        <w:suppressAutoHyphens/>
        <w:snapToGrid w:val="0"/>
        <w:spacing w:line="590" w:lineRule="exact"/>
        <w:ind w:firstLine="640" w:firstLineChars="200"/>
        <w:textAlignment w:val="baseline"/>
        <w:rPr>
          <w:rFonts w:ascii="Times New Roman" w:hAnsi="Times New Roman" w:eastAsia="仿宋_GB2312" w:cs="Times New Roman"/>
          <w:sz w:val="32"/>
          <w:szCs w:val="32"/>
          <w:lang w:eastAsia="ar-SA"/>
        </w:rPr>
      </w:pPr>
      <w:r>
        <w:rPr>
          <w:rFonts w:hint="eastAsia" w:ascii="楷体_GB2312" w:hAnsi="Times New Roman" w:eastAsia="楷体_GB2312" w:cs="Times New Roman"/>
          <w:sz w:val="32"/>
          <w:szCs w:val="32"/>
          <w:lang w:eastAsia="zh-CN"/>
        </w:rPr>
        <w:t>（二）学习年限：</w:t>
      </w:r>
      <w:r>
        <w:rPr>
          <w:rFonts w:ascii="Times New Roman" w:hAnsi="Times New Roman" w:eastAsia="仿宋_GB2312" w:cs="Times New Roman"/>
          <w:sz w:val="32"/>
          <w:szCs w:val="32"/>
          <w:lang w:eastAsia="zh-CN"/>
        </w:rPr>
        <w:t>3年</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仿宋_GB2312" w:cs="Times New Roman"/>
          <w:kern w:val="2"/>
          <w:sz w:val="32"/>
          <w:szCs w:val="32"/>
          <w:lang w:val="en-US" w:eastAsia="zh-CN" w:bidi="ar-SA"/>
        </w:rPr>
      </w:pPr>
      <w:r>
        <w:rPr>
          <w:rFonts w:hint="eastAsia" w:ascii="楷体_GB2312" w:hAnsi="Times New Roman" w:eastAsia="楷体_GB2312" w:cs="Times New Roman"/>
          <w:kern w:val="2"/>
          <w:sz w:val="32"/>
          <w:szCs w:val="32"/>
          <w:lang w:val="en-US" w:eastAsia="zh-CN" w:bidi="ar-SA"/>
        </w:rPr>
        <w:t>（三）学习方式：</w:t>
      </w:r>
      <w:r>
        <w:rPr>
          <w:rFonts w:ascii="Times New Roman" w:hAnsi="Times New Roman" w:eastAsia="仿宋_GB2312" w:cs="Times New Roman"/>
          <w:kern w:val="2"/>
          <w:sz w:val="32"/>
          <w:szCs w:val="32"/>
          <w:lang w:val="en-US" w:eastAsia="zh-CN" w:bidi="ar-SA"/>
        </w:rPr>
        <w:t>网络学习与面授相结合</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仿宋_GB2312" w:cs="Times New Roman"/>
          <w:kern w:val="2"/>
          <w:sz w:val="32"/>
          <w:szCs w:val="32"/>
          <w:lang w:val="en-US" w:eastAsia="zh-CN" w:bidi="ar-SA"/>
        </w:rPr>
      </w:pPr>
      <w:r>
        <w:rPr>
          <w:rFonts w:hint="eastAsia" w:ascii="楷体_GB2312" w:hAnsi="Times New Roman" w:eastAsia="楷体_GB2312" w:cs="Times New Roman"/>
          <w:kern w:val="2"/>
          <w:sz w:val="32"/>
          <w:szCs w:val="32"/>
          <w:lang w:val="en-US" w:eastAsia="zh-CN" w:bidi="ar-SA"/>
        </w:rPr>
        <w:t>（四）学费：</w:t>
      </w:r>
      <w:r>
        <w:rPr>
          <w:rFonts w:ascii="Times New Roman" w:hAnsi="Times New Roman" w:eastAsia="仿宋_GB2312" w:cs="Times New Roman"/>
          <w:kern w:val="2"/>
          <w:sz w:val="32"/>
          <w:szCs w:val="32"/>
          <w:lang w:val="en-US" w:eastAsia="zh-CN" w:bidi="ar-SA"/>
        </w:rPr>
        <w:t>2420元／生／年</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三、报名方式</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8月中下旬请报考人员自行登录广西招生考试网 </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http://www.gxeea.cn</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详细阅读《广西2022年成人高校招生考试报名须知》，并按规定时间在成人高考网上报名系统进行报名。</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四、学习收益</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按照教学计划修完全部课程且考核成绩合格者颁发中国药科大学成人学历教育毕业证书</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学信网注册</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本科、专升本层次毕业生达到学位授予条例规定者</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授予相应学士学位。</w:t>
      </w:r>
    </w:p>
    <w:p>
      <w:pPr>
        <w:widowControl w:val="0"/>
        <w:tabs>
          <w:tab w:val="left" w:pos="840"/>
        </w:tabs>
        <w:suppressAutoHyphens/>
        <w:snapToGrid w:val="0"/>
        <w:spacing w:line="590" w:lineRule="exact"/>
        <w:ind w:left="0" w:firstLine="640" w:firstLineChars="200"/>
        <w:jc w:val="both"/>
        <w:textAlignment w:val="baseline"/>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五、成人高考报考科类及高考科目</w:t>
      </w:r>
    </w:p>
    <w:p>
      <w:pPr>
        <w:widowControl w:val="0"/>
        <w:tabs>
          <w:tab w:val="left" w:pos="840"/>
        </w:tabs>
        <w:suppressAutoHyphens/>
        <w:snapToGrid w:val="0"/>
        <w:spacing w:line="560" w:lineRule="exact"/>
        <w:ind w:left="0" w:firstLine="0"/>
        <w:jc w:val="left"/>
        <w:textAlignment w:val="baseline"/>
        <w:rPr>
          <w:rFonts w:ascii="宋体" w:hAnsi="Times New Roman" w:eastAsia="宋体" w:cs="宋体"/>
          <w:b/>
          <w:bCs/>
          <w:kern w:val="2"/>
          <w:sz w:val="24"/>
          <w:szCs w:val="24"/>
          <w:lang w:val="en-US" w:eastAsia="zh-CN" w:bidi="ar-SA"/>
        </w:rPr>
      </w:pPr>
    </w:p>
    <w:p>
      <w:pPr>
        <w:widowControl w:val="0"/>
        <w:tabs>
          <w:tab w:val="left" w:pos="840"/>
        </w:tabs>
        <w:suppressAutoHyphens/>
        <w:snapToGrid w:val="0"/>
        <w:spacing w:line="20" w:lineRule="exact"/>
        <w:ind w:left="0" w:firstLine="0"/>
        <w:jc w:val="left"/>
        <w:textAlignment w:val="baseline"/>
        <w:rPr>
          <w:rFonts w:ascii="宋体" w:hAnsi="Times New Roman" w:eastAsia="宋体" w:cs="宋体"/>
          <w:b/>
          <w:bCs/>
          <w:kern w:val="2"/>
          <w:sz w:val="24"/>
          <w:szCs w:val="24"/>
          <w:lang w:val="en-US" w:eastAsia="zh-CN" w:bidi="ar-SA"/>
        </w:rPr>
      </w:pPr>
    </w:p>
    <w:tbl>
      <w:tblPr>
        <w:tblStyle w:val="2"/>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155"/>
        <w:gridCol w:w="1667"/>
        <w:gridCol w:w="2279"/>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jc w:val="center"/>
        </w:trPr>
        <w:tc>
          <w:tcPr>
            <w:tcW w:w="903"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黑体" w:hAnsi="黑体" w:eastAsia="黑体" w:cs="Times New Roman"/>
                <w:bCs/>
                <w:sz w:val="28"/>
                <w:szCs w:val="28"/>
                <w:lang w:eastAsia="zh-CN"/>
              </w:rPr>
            </w:pPr>
            <w:r>
              <w:rPr>
                <w:rFonts w:ascii="黑体" w:hAnsi="黑体" w:eastAsia="黑体" w:cs="Times New Roman"/>
                <w:bCs/>
                <w:sz w:val="28"/>
                <w:szCs w:val="28"/>
                <w:lang w:eastAsia="zh-CN"/>
              </w:rPr>
              <w:t>层次</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黑体" w:hAnsi="黑体" w:eastAsia="黑体" w:cs="Times New Roman"/>
                <w:bCs/>
                <w:sz w:val="28"/>
                <w:szCs w:val="28"/>
                <w:lang w:eastAsia="zh-CN"/>
              </w:rPr>
            </w:pPr>
            <w:r>
              <w:rPr>
                <w:rFonts w:ascii="黑体" w:hAnsi="黑体" w:eastAsia="黑体" w:cs="Times New Roman"/>
                <w:bCs/>
                <w:sz w:val="28"/>
                <w:szCs w:val="28"/>
                <w:lang w:eastAsia="zh-CN"/>
              </w:rPr>
              <w:t>专业</w:t>
            </w:r>
          </w:p>
        </w:tc>
        <w:tc>
          <w:tcPr>
            <w:tcW w:w="1667"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黑体" w:hAnsi="黑体" w:eastAsia="黑体" w:cs="Times New Roman"/>
                <w:bCs/>
                <w:sz w:val="28"/>
                <w:szCs w:val="28"/>
                <w:lang w:eastAsia="zh-CN"/>
              </w:rPr>
            </w:pPr>
            <w:r>
              <w:rPr>
                <w:rFonts w:ascii="黑体" w:hAnsi="黑体" w:eastAsia="黑体" w:cs="Times New Roman"/>
                <w:bCs/>
                <w:sz w:val="28"/>
                <w:szCs w:val="28"/>
                <w:lang w:eastAsia="zh-CN"/>
              </w:rPr>
              <w:t>报考科类</w:t>
            </w:r>
          </w:p>
        </w:tc>
        <w:tc>
          <w:tcPr>
            <w:tcW w:w="227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黑体" w:hAnsi="黑体" w:eastAsia="黑体" w:cs="Times New Roman"/>
                <w:bCs/>
                <w:sz w:val="28"/>
                <w:szCs w:val="28"/>
                <w:lang w:eastAsia="zh-CN"/>
              </w:rPr>
            </w:pPr>
            <w:r>
              <w:rPr>
                <w:rFonts w:ascii="黑体" w:hAnsi="黑体" w:eastAsia="黑体" w:cs="Times New Roman"/>
                <w:bCs/>
                <w:sz w:val="28"/>
                <w:szCs w:val="28"/>
                <w:lang w:eastAsia="zh-CN"/>
              </w:rPr>
              <w:t>成人高考科目</w:t>
            </w:r>
          </w:p>
        </w:tc>
        <w:tc>
          <w:tcPr>
            <w:tcW w:w="3772"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黑体" w:hAnsi="黑体" w:eastAsia="黑体" w:cs="Times New Roman"/>
                <w:bCs/>
                <w:sz w:val="28"/>
                <w:szCs w:val="28"/>
                <w:lang w:eastAsia="zh-CN"/>
              </w:rPr>
            </w:pPr>
            <w:r>
              <w:rPr>
                <w:rFonts w:ascii="黑体" w:hAnsi="黑体" w:eastAsia="黑体" w:cs="Times New Roman"/>
                <w:bCs/>
                <w:sz w:val="28"/>
                <w:szCs w:val="28"/>
                <w:lang w:eastAsia="zh-CN"/>
              </w:rPr>
              <w:t>成人高考报名及考试时间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90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专</w:t>
            </w:r>
          </w:p>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升</w:t>
            </w:r>
          </w:p>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本</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药学</w:t>
            </w:r>
          </w:p>
        </w:tc>
        <w:tc>
          <w:tcPr>
            <w:tcW w:w="1667"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经管类</w:t>
            </w:r>
          </w:p>
        </w:tc>
        <w:tc>
          <w:tcPr>
            <w:tcW w:w="227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英语、</w:t>
            </w:r>
          </w:p>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政治、</w:t>
            </w:r>
          </w:p>
          <w:p>
            <w:pPr>
              <w:suppressAutoHyphens/>
              <w:snapToGrid w:val="0"/>
              <w:jc w:val="center"/>
              <w:textAlignment w:val="baseline"/>
              <w:rPr>
                <w:rFonts w:ascii="Times New Roman" w:hAnsi="Times New Roman" w:eastAsia="仿宋_GB2312" w:cs="Times New Roman"/>
                <w:sz w:val="28"/>
                <w:szCs w:val="28"/>
                <w:lang w:eastAsia="ar-SA"/>
              </w:rPr>
            </w:pPr>
            <w:r>
              <w:rPr>
                <w:rFonts w:ascii="Times New Roman" w:hAnsi="Times New Roman" w:eastAsia="仿宋_GB2312" w:cs="Times New Roman"/>
                <w:sz w:val="28"/>
                <w:szCs w:val="28"/>
                <w:lang w:eastAsia="zh-CN"/>
              </w:rPr>
              <w:t>高等数学（二）</w:t>
            </w:r>
          </w:p>
        </w:tc>
        <w:tc>
          <w:tcPr>
            <w:tcW w:w="37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textAlignment w:val="baseline"/>
              <w:rPr>
                <w:rFonts w:ascii="Times New Roman" w:hAnsi="Times New Roman" w:eastAsia="仿宋_GB2312" w:cs="Times New Roman"/>
                <w:sz w:val="28"/>
                <w:szCs w:val="28"/>
                <w:lang w:eastAsia="zh-CN"/>
              </w:rPr>
            </w:pPr>
            <w:r>
              <w:rPr>
                <w:rFonts w:hint="eastAsia" w:ascii="楷体_GB2312" w:hAnsi="Times New Roman" w:eastAsia="楷体_GB2312" w:cs="Times New Roman"/>
                <w:sz w:val="28"/>
                <w:szCs w:val="28"/>
                <w:lang w:eastAsia="zh-CN"/>
              </w:rPr>
              <w:t>（一）</w:t>
            </w:r>
            <w:r>
              <w:rPr>
                <w:rFonts w:hint="eastAsia" w:ascii="楷体_GB2312" w:hAnsi="Times New Roman" w:eastAsia="楷体_GB2312" w:cs="Times New Roman"/>
                <w:b/>
                <w:bCs/>
                <w:sz w:val="28"/>
                <w:szCs w:val="28"/>
                <w:lang w:eastAsia="zh-CN"/>
              </w:rPr>
              <w:t>报名时间</w:t>
            </w:r>
            <w:r>
              <w:rPr>
                <w:rFonts w:hint="eastAsia" w:ascii="楷体_GB2312" w:hAnsi="Times New Roman" w:eastAsia="楷体_GB2312" w:cs="Times New Roman"/>
                <w:sz w:val="28"/>
                <w:szCs w:val="28"/>
                <w:lang w:eastAsia="zh-CN"/>
              </w:rPr>
              <w:t>：</w:t>
            </w:r>
            <w:r>
              <w:rPr>
                <w:rFonts w:ascii="Times New Roman" w:hAnsi="Times New Roman" w:eastAsia="仿宋_GB2312" w:cs="Times New Roman"/>
                <w:sz w:val="28"/>
                <w:szCs w:val="28"/>
                <w:lang w:eastAsia="zh-CN"/>
              </w:rPr>
              <w:t>2022年8月中下旬在广西招生考试院网上填写报名信息，详见广西招生考试院网站（http</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lang w:eastAsia="zh-CN"/>
              </w:rPr>
              <w:t>//www.gxeea.cn）</w:t>
            </w:r>
          </w:p>
          <w:p>
            <w:pPr>
              <w:suppressAutoHyphens/>
              <w:snapToGrid w:val="0"/>
              <w:textAlignment w:val="baseline"/>
              <w:rPr>
                <w:rFonts w:ascii="Times New Roman" w:hAnsi="Times New Roman" w:eastAsia="仿宋_GB2312" w:cs="Times New Roman"/>
                <w:bCs/>
                <w:sz w:val="28"/>
                <w:szCs w:val="28"/>
                <w:lang w:eastAsia="zh-CN"/>
              </w:rPr>
            </w:pPr>
            <w:r>
              <w:rPr>
                <w:rFonts w:hint="eastAsia" w:ascii="楷体_GB2312" w:hAnsi="Times New Roman" w:eastAsia="楷体_GB2312" w:cs="Times New Roman"/>
                <w:sz w:val="28"/>
                <w:szCs w:val="28"/>
                <w:lang w:eastAsia="zh-CN"/>
              </w:rPr>
              <w:t>（二）</w:t>
            </w:r>
            <w:r>
              <w:rPr>
                <w:rFonts w:hint="eastAsia" w:ascii="楷体_GB2312" w:hAnsi="Times New Roman" w:eastAsia="楷体_GB2312" w:cs="Times New Roman"/>
                <w:b/>
                <w:bCs/>
                <w:sz w:val="28"/>
                <w:szCs w:val="28"/>
                <w:lang w:eastAsia="zh-CN"/>
              </w:rPr>
              <w:t>考试时间</w:t>
            </w:r>
            <w:r>
              <w:rPr>
                <w:rFonts w:hint="eastAsia" w:ascii="楷体_GB2312" w:hAnsi="Times New Roman" w:eastAsia="楷体_GB2312" w:cs="Times New Roman"/>
                <w:sz w:val="28"/>
                <w:szCs w:val="28"/>
                <w:lang w:eastAsia="zh-CN"/>
              </w:rPr>
              <w:t>：</w:t>
            </w:r>
            <w:r>
              <w:rPr>
                <w:rFonts w:ascii="Times New Roman" w:hAnsi="Times New Roman" w:eastAsia="仿宋_GB2312" w:cs="Times New Roman"/>
                <w:sz w:val="28"/>
                <w:szCs w:val="28"/>
                <w:lang w:eastAsia="zh-CN"/>
              </w:rPr>
              <w:t>预计2022年10月23、24日两天（详见广西招生考试院网站）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9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Times New Roman" w:hAnsi="Times New Roman" w:eastAsia="仿宋_GB2312" w:cs="Times New Roman"/>
                <w:sz w:val="28"/>
                <w:szCs w:val="28"/>
                <w:lang w:eastAsia="ar-SA"/>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中药学</w:t>
            </w:r>
          </w:p>
        </w:tc>
        <w:tc>
          <w:tcPr>
            <w:tcW w:w="1667"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文史中医类</w:t>
            </w:r>
          </w:p>
        </w:tc>
        <w:tc>
          <w:tcPr>
            <w:tcW w:w="227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英语、</w:t>
            </w:r>
          </w:p>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政治、</w:t>
            </w:r>
          </w:p>
          <w:p>
            <w:pPr>
              <w:suppressAutoHyphens/>
              <w:snapToGrid w:val="0"/>
              <w:jc w:val="center"/>
              <w:textAlignment w:val="baseline"/>
              <w:rPr>
                <w:rFonts w:ascii="Times New Roman" w:hAnsi="Times New Roman" w:eastAsia="仿宋_GB2312" w:cs="Times New Roman"/>
                <w:sz w:val="28"/>
                <w:szCs w:val="28"/>
                <w:lang w:eastAsia="zh-CN"/>
              </w:rPr>
            </w:pPr>
            <w:r>
              <w:rPr>
                <w:rFonts w:ascii="Times New Roman" w:hAnsi="Times New Roman" w:eastAsia="仿宋_GB2312" w:cs="Times New Roman"/>
                <w:sz w:val="28"/>
                <w:szCs w:val="28"/>
                <w:lang w:eastAsia="zh-CN"/>
              </w:rPr>
              <w:t>大学语文</w:t>
            </w:r>
          </w:p>
        </w:tc>
        <w:tc>
          <w:tcPr>
            <w:tcW w:w="3772" w:type="dxa"/>
            <w:vMerge w:val="continue"/>
            <w:tcBorders>
              <w:top w:val="single" w:color="auto" w:sz="4" w:space="0"/>
              <w:left w:val="single" w:color="auto" w:sz="4" w:space="0"/>
              <w:bottom w:val="single" w:color="auto" w:sz="4" w:space="0"/>
              <w:right w:val="single" w:color="auto" w:sz="4" w:space="0"/>
              <w:tl2br w:val="nil"/>
              <w:tr2bl w:val="nil"/>
            </w:tcBorders>
          </w:tcPr>
          <w:p>
            <w:pPr>
              <w:suppressAutoHyphens/>
              <w:rPr>
                <w:rFonts w:ascii="Times New Roman" w:hAnsi="Times New Roman" w:eastAsia="仿宋_GB2312" w:cs="Times New Roman"/>
                <w:sz w:val="28"/>
                <w:szCs w:val="28"/>
                <w:lang w:eastAsia="ar-SA"/>
              </w:rPr>
            </w:pPr>
          </w:p>
        </w:tc>
      </w:tr>
    </w:tbl>
    <w:p>
      <w:pPr>
        <w:widowControl w:val="0"/>
        <w:tabs>
          <w:tab w:val="left" w:pos="840"/>
        </w:tabs>
        <w:suppressAutoHyphens/>
        <w:snapToGrid w:val="0"/>
        <w:spacing w:line="307" w:lineRule="exact"/>
        <w:ind w:left="0" w:firstLine="0"/>
        <w:jc w:val="left"/>
        <w:textAlignment w:val="baseline"/>
        <w:rPr>
          <w:rFonts w:ascii="宋体" w:hAnsi="Times New Roman" w:eastAsia="宋体" w:cs="宋体"/>
          <w:b/>
          <w:bCs/>
          <w:kern w:val="2"/>
          <w:sz w:val="24"/>
          <w:szCs w:val="24"/>
          <w:lang w:val="en-US" w:eastAsia="zh-CN" w:bidi="ar-SA"/>
        </w:rPr>
      </w:pPr>
    </w:p>
    <w:p>
      <w:pPr>
        <w:suppressAutoHyphens/>
        <w:snapToGrid w:val="0"/>
        <w:spacing w:line="560" w:lineRule="exact"/>
        <w:ind w:firstLine="640" w:firstLineChars="200"/>
        <w:textAlignment w:val="baseline"/>
        <w:rPr>
          <w:rFonts w:ascii="Times New Roman" w:hAnsi="Times New Roman" w:eastAsia="黑体" w:cs="Times New Roman"/>
          <w:sz w:val="32"/>
          <w:szCs w:val="32"/>
          <w:lang w:eastAsia="ar-SA"/>
        </w:rPr>
      </w:pPr>
      <w:r>
        <w:rPr>
          <w:rFonts w:ascii="Times New Roman" w:hAnsi="Times New Roman" w:eastAsia="黑体" w:cs="Times New Roman"/>
          <w:sz w:val="32"/>
          <w:szCs w:val="32"/>
          <w:lang w:eastAsia="ar-SA"/>
        </w:rPr>
        <w:t>六、报名咨询联系方式</w:t>
      </w:r>
    </w:p>
    <w:p>
      <w:pPr>
        <w:suppressAutoHyphens/>
        <w:snapToGrid w:val="0"/>
        <w:spacing w:line="560" w:lineRule="exact"/>
        <w:ind w:firstLine="640" w:firstLineChars="200"/>
        <w:textAlignment w:val="baseline"/>
        <w:rPr>
          <w:rFonts w:ascii="Times New Roman" w:hAnsi="Times New Roman" w:eastAsia="仿宋_GB2312" w:cs="Times New Roman"/>
          <w:sz w:val="32"/>
          <w:szCs w:val="32"/>
          <w:lang w:eastAsia="ar-SA"/>
        </w:rPr>
      </w:pPr>
      <w:r>
        <w:rPr>
          <w:rFonts w:ascii="Times New Roman" w:hAnsi="Times New Roman" w:eastAsia="仿宋_GB2312" w:cs="Times New Roman"/>
          <w:sz w:val="32"/>
          <w:szCs w:val="32"/>
          <w:lang w:eastAsia="ar-SA"/>
        </w:rPr>
        <w:t>中国药科大学柳州函授站（柳州市制剂医药技工学校）</w:t>
      </w:r>
    </w:p>
    <w:p>
      <w:pPr>
        <w:suppressAutoHyphens/>
        <w:snapToGrid w:val="0"/>
        <w:spacing w:line="560" w:lineRule="exact"/>
        <w:ind w:firstLine="640" w:firstLineChars="200"/>
        <w:textAlignment w:val="baseline"/>
        <w:rPr>
          <w:rFonts w:ascii="Times New Roman" w:hAnsi="Times New Roman" w:eastAsia="仿宋_GB2312" w:cs="Times New Roman"/>
          <w:sz w:val="32"/>
          <w:szCs w:val="32"/>
          <w:lang w:eastAsia="ar-SA"/>
        </w:rPr>
      </w:pPr>
      <w:r>
        <w:rPr>
          <w:rFonts w:ascii="Times New Roman" w:hAnsi="Times New Roman" w:eastAsia="仿宋_GB2312" w:cs="Times New Roman"/>
          <w:sz w:val="32"/>
          <w:szCs w:val="32"/>
          <w:lang w:eastAsia="ar-SA"/>
        </w:rPr>
        <w:t>文老师：（0772）2801040     15877037775（微信同号）</w:t>
      </w:r>
    </w:p>
    <w:p>
      <w:pPr>
        <w:suppressAutoHyphens/>
        <w:snapToGrid w:val="0"/>
        <w:spacing w:before="1" w:line="418" w:lineRule="auto"/>
        <w:ind w:left="6868" w:right="376" w:firstLine="358"/>
        <w:jc w:val="left"/>
        <w:textAlignment w:val="baseline"/>
        <w:rPr>
          <w:rFonts w:ascii="宋体" w:hAnsi="Times New Roman" w:eastAsia="宋体" w:cs="宋体"/>
          <w:b/>
          <w:sz w:val="28"/>
          <w:lang w:eastAsia="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MmM1Yjk0MzhlM2JiOWExNjkwYTIwNTE3ZDZkZjIifQ=="/>
  </w:docVars>
  <w:rsids>
    <w:rsidRoot w:val="7DF938A2"/>
    <w:rsid w:val="7DF9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2022-06-15T03:14:00Z</dcterms:created>
  <dc:creator>。</dc:creator>
  <cp:lastModifiedBy>。</cp:lastModifiedBy>
  <dcterms:modified xsi:type="dcterms:W3CDTF">2022-06-15T03:15:35Z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C3AC2C15FCDA46B889F69CC25A0240E7</vt:lpwstr>
  </property>
</Properties>
</file>