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left"/>
        <w:rPr>
          <w:rFonts w:ascii="黑体" w:eastAsia="黑体"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  <w:r>
        <w:rPr>
          <w:rFonts w:ascii="方正小标宋简体" w:eastAsia="方正小标宋简体" w:hint="eastAsia"/>
          <w:sz w:val="44"/>
          <w:szCs w:val="44"/>
        </w:rPr>
        <w:t>国产非特殊用途化妆品备案检验机构自查表</w:t>
      </w:r>
    </w:p>
    <w:p>
      <w:pPr>
        <w:spacing w:line="640" w:lineRule="exact"/>
        <w:jc w:val="center"/>
        <w:rPr>
          <w:rFonts w:ascii="方正小标宋简体" w:eastAsia="方正小标宋简体" w:hint="eastAsia"/>
          <w:sz w:val="44"/>
          <w:szCs w:val="44"/>
          <w:lang w:eastAsia="zh-CN"/>
        </w:rPr>
      </w:pPr>
    </w:p>
    <w:p>
      <w:pPr>
        <w:tabs>
          <w:tab w:val="left" w:pos="7200"/>
        </w:tabs>
        <w:rPr>
          <w:szCs w:val="21"/>
        </w:rPr>
      </w:pPr>
      <w:r>
        <w:rPr>
          <w:rFonts w:hint="eastAsia"/>
          <w:szCs w:val="21"/>
        </w:rPr>
        <w:t>单位</w:t>
      </w:r>
      <w:r>
        <w:rPr>
          <w:szCs w:val="21"/>
        </w:rPr>
        <w:t>名称</w:t>
      </w:r>
      <w:r>
        <w:rPr>
          <w:rFonts w:hint="eastAsia"/>
          <w:szCs w:val="21"/>
        </w:rPr>
        <w:t>（公章）：</w:t>
      </w:r>
      <w:r>
        <w:rPr>
          <w:szCs w:val="21"/>
        </w:rPr>
        <w:tab/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eastAsia="zh-CN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eastAsia="zh-CN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jc w:val="center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1"/>
        <w:gridCol w:w="959"/>
        <w:gridCol w:w="1350"/>
        <w:gridCol w:w="1957"/>
        <w:gridCol w:w="1347"/>
        <w:gridCol w:w="1050"/>
        <w:gridCol w:w="1957"/>
      </w:tblGrid>
      <w:tr>
        <w:trPr>
          <w:trHeight w:val="745"/>
        </w:trPr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</w:t>
            </w:r>
          </w:p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位</w:t>
            </w:r>
          </w:p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性</w:t>
            </w:r>
          </w:p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质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事业□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公益一类□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ind w:firstLineChars="150" w:firstLine="309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单位法人</w:t>
            </w:r>
          </w:p>
        </w:tc>
        <w:tc>
          <w:tcPr>
            <w:tcW w:w="43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647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公益二类□</w:t>
            </w:r>
          </w:p>
        </w:tc>
        <w:tc>
          <w:tcPr>
            <w:tcW w:w="19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ind w:firstLineChars="100" w:firstLine="206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单位联系人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姓名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746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215"/>
              </w:tabs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公益三类□</w:t>
            </w:r>
          </w:p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电话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>
        <w:trPr>
          <w:trHeight w:val="717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30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企业□</w:t>
            </w:r>
          </w:p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手机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675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309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邮箱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982"/>
        </w:trPr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100" w:firstLine="206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</w:t>
            </w:r>
          </w:p>
          <w:p>
            <w:pPr>
              <w:spacing w:line="480" w:lineRule="exact"/>
              <w:ind w:firstLineChars="100" w:firstLine="206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面</w:t>
            </w:r>
          </w:p>
          <w:p>
            <w:pPr>
              <w:spacing w:line="480" w:lineRule="exact"/>
              <w:ind w:firstLineChars="100" w:firstLine="206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积</w:t>
            </w:r>
          </w:p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（M</w:t>
            </w:r>
            <w:r>
              <w:rPr>
                <w:rFonts w:ascii="黑体" w:eastAsia="黑体" w:hint="eastAsia"/>
                <w:szCs w:val="21"/>
                <w:vertAlign w:val="superscript"/>
              </w:rPr>
              <w:t>2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总人数（个）</w:t>
            </w:r>
          </w:p>
        </w:tc>
        <w:tc>
          <w:tcPr>
            <w:tcW w:w="195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从事化妆品检验的人数      （个）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高级职称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09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5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中级职称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809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50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95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47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初级职称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1178"/>
        </w:trPr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近五年备案检验检品数（批）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年份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  <w:lang w:eastAsia="zh-CN"/>
              </w:rPr>
            </w:pPr>
            <w:r>
              <w:rPr>
                <w:rFonts w:ascii="黑体" w:eastAsia="黑体" w:hint="eastAsia"/>
                <w:szCs w:val="21"/>
              </w:rPr>
              <w:t>卫生化学</w:t>
            </w:r>
          </w:p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检验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150" w:firstLine="309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微生物学检验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毒理学试验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200" w:firstLine="412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2014年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2015年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2016年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578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2017年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546"/>
        </w:trP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2018年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780"/>
        </w:trPr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50" w:firstLine="103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项目名称</w:t>
            </w: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150" w:firstLine="309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组织机构</w:t>
            </w: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结果</w:t>
            </w: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Chars="250" w:firstLine="515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</w:t>
            </w:r>
          </w:p>
        </w:tc>
      </w:tr>
      <w:tr>
        <w:tc>
          <w:tcPr>
            <w:tcW w:w="9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近五年化妆品能力验</w:t>
            </w:r>
          </w:p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证情况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c>
          <w:tcPr>
            <w:tcW w:w="990" w:type="dxa"/>
            <w:gridSpan w:val="2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5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7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0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3967"/>
        </w:trPr>
        <w:tc>
          <w:tcPr>
            <w:tcW w:w="979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存在问题及整改措施</w:t>
            </w:r>
          </w:p>
        </w:tc>
        <w:tc>
          <w:tcPr>
            <w:tcW w:w="86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uppressAutoHyphens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widowControl/>
              <w:suppressAutoHyphens/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rPr>
          <w:trHeight w:val="3245"/>
        </w:trPr>
        <w:tc>
          <w:tcPr>
            <w:tcW w:w="979" w:type="dxa"/>
            <w:tcBorders>
              <w:top w:val="nil"/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eastAsia="黑体" w:hint="eastAsia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建议</w:t>
            </w:r>
          </w:p>
        </w:tc>
        <w:tc>
          <w:tcPr>
            <w:tcW w:w="8631" w:type="dxa"/>
            <w:gridSpan w:val="7"/>
            <w:tcBorders>
              <w:top w:val="nil"/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Cs w:val="21"/>
              </w:rPr>
            </w:pPr>
          </w:p>
        </w:tc>
      </w:tr>
    </w:tbl>
    <w:p>
      <w:pPr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国产非特殊用途化妆品备案指定检验机构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4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（广西区域）</w:t>
      </w:r>
    </w:p>
    <w:p>
      <w:pPr>
        <w:pStyle w:val="15"/>
        <w:spacing w:line="640" w:lineRule="exact"/>
        <w:ind w:left="0"/>
        <w:jc w:val="center"/>
        <w:rPr>
          <w:rFonts w:ascii="方正小标宋简体" w:eastAsia="方正小标宋简体" w:hint="eastAsia"/>
          <w:sz w:val="44"/>
          <w:szCs w:val="44"/>
        </w:rPr>
      </w:pP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1.广西壮族自治区食品药品检验所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2.广西</w:t>
      </w:r>
      <w:r>
        <w:rPr>
          <w:rFonts w:ascii="Times New Roman" w:eastAsia="仿宋_GB2312" w:cs="Times New Roman" w:hAnsi="Times New Roman" w:hint="eastAsia"/>
          <w:bCs/>
          <w:sz w:val="32"/>
          <w:szCs w:val="32"/>
        </w:rPr>
        <w:t>—</w:t>
      </w:r>
      <w:r>
        <w:rPr>
          <w:rFonts w:ascii="Times New Roman" w:eastAsia="仿宋_GB2312" w:cs="Times New Roman" w:hAnsi="Times New Roman"/>
          <w:bCs/>
          <w:sz w:val="32"/>
          <w:szCs w:val="32"/>
        </w:rPr>
        <w:t>东盟食品药品安全检验检测中心（原</w:t>
      </w:r>
      <w:r>
        <w:rPr>
          <w:rFonts w:ascii="Times New Roman" w:eastAsia="仿宋_GB2312" w:cs="Times New Roman" w:hAnsi="Times New Roman"/>
          <w:sz w:val="32"/>
          <w:szCs w:val="32"/>
        </w:rPr>
        <w:t>广西壮族自治区南宁食品药品检验所）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3.柳州市食品药品检验所（原广西壮族自治区柳州食品药品检验所）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4.桂林市食品药品检检所（原广西壮族自治区桂林食品药品检验所）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5.梧州市食品药品检验所（原广西壮族自治区梧州食品药品检验所）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6.北海市食品药品检验所（原广西壮族自治区北海食品药品检验所）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7.玉林食品药品检验检测中心（原广西壮族自治区玉林食品药品检验所）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8.广西壮族自治区疾病预防控制中心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bCs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9.广西壮族自治区产品质量检验研究院</w:t>
      </w:r>
    </w:p>
    <w:p>
      <w:pPr>
        <w:pStyle w:val="15"/>
        <w:spacing w:line="520" w:lineRule="exact"/>
        <w:ind w:left="0" w:firstLineChars="200" w:firstLine="632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sz w:val="32"/>
          <w:szCs w:val="32"/>
        </w:rPr>
        <w:t xml:space="preserve">10．广西民生中检联检测有限公司 </w:t>
      </w:r>
    </w:p>
    <w:p>
      <w:pPr>
        <w:pStyle w:val="9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firstLineChars="200" w:firstLine="632"/>
        <w:jc w:val="both"/>
        <w:rPr>
          <w:rFonts w:ascii="Times New Roman" w:eastAsia="仿宋_GB2312" w:cs="Times New Roman" w:hAnsi="Times New Roman"/>
          <w:sz w:val="32"/>
          <w:szCs w:val="32"/>
        </w:rPr>
      </w:pPr>
      <w:r>
        <w:rPr>
          <w:rFonts w:ascii="Times New Roman" w:eastAsia="仿宋_GB2312" w:cs="Times New Roman" w:hAnsi="Times New Roman"/>
          <w:bCs/>
          <w:sz w:val="32"/>
          <w:szCs w:val="32"/>
        </w:rPr>
        <w:t>登录国家药品监督管理总局网站http://www.nmpa.gov.cn/WS04/CL2042/），进入</w:t>
      </w:r>
      <w:r>
        <w:rPr>
          <w:rFonts w:ascii="仿宋_GB2312" w:eastAsia="仿宋_GB2312" w:cs="Times New Roman" w:hint="eastAsia"/>
          <w:bCs/>
          <w:sz w:val="32"/>
          <w:szCs w:val="32"/>
        </w:rPr>
        <w:t>“化妆品查询”栏目，进入“国产非特殊用途化妆品备案检验机构”，可</w:t>
      </w:r>
      <w:r>
        <w:rPr>
          <w:rFonts w:ascii="Times New Roman" w:eastAsia="仿宋_GB2312" w:cs="Times New Roman" w:hAnsi="Times New Roman"/>
          <w:bCs/>
          <w:sz w:val="32"/>
          <w:szCs w:val="32"/>
        </w:rPr>
        <w:t>查询全国国产非特殊用途化妆品备案指定检验机构和检验范围。</w:t>
      </w:r>
    </w:p>
    <w:p>
      <w:pPr>
        <w:autoSpaceDE w:val="0"/>
        <w:spacing w:line="20" w:lineRule="exact"/>
        <w:rPr>
          <w:rFonts w:hint="eastAsia"/>
          <w:lang w:eastAsia="zh-CN"/>
        </w:rPr>
      </w:pPr>
    </w:p>
    <w:p/>
    <w:sectPr>
      <w:headerReference w:type="default" r:id="rId2"/>
      <w:footerReference w:type="default" r:id="rId3"/>
      <w:footerReference w:type="even" r:id="rId4"/>
      <w:pgSz w:w="11906" w:h="16838"/>
      <w:pgMar w:top="1928" w:right="1361" w:bottom="1928" w:left="1588" w:header="720" w:footer="1531" w:gutter="0"/>
      <w:pgNumType/>
      <w:docGrid w:type="linesAndChars" w:linePitch="312" w:charSpace="-81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Courier New">
    <w:panose1 w:val="020704090202050904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tabs>
        <w:tab w:val="center" w:pos="4153"/>
        <w:tab w:val="right" w:pos="8306"/>
      </w:tabs>
      <w:jc w:val="right"/>
      <w:rPr>
        <w:rStyle w:val="42"/>
        <w:rFonts w:hint="eastAsia"/>
        <w:kern w:val="28"/>
        <w:sz w:val="28"/>
        <w:szCs w:val="28"/>
      </w:rPr>
    </w:pPr>
    <w:r>
      <w:rPr>
        <w:kern w:val="28"/>
        <w:sz w:val="28"/>
        <w:szCs w:val="28"/>
      </w:rPr>
      <w:t>—</w:t>
    </w:r>
    <w:r>
      <w:rPr>
        <w:rFonts w:hint="eastAsia"/>
        <w:spacing w:val="40"/>
        <w:kern w:val="28"/>
        <w:sz w:val="28"/>
        <w:szCs w:val="28"/>
      </w:rPr>
      <w:t xml:space="preserve"> </w:t>
    </w:r>
    <w:r>
      <w:rPr>
        <w:rStyle w:val="42"/>
        <w:kern w:val="28"/>
        <w:sz w:val="28"/>
        <w:szCs w:val="28"/>
      </w:rPr>
      <w:fldChar w:fldCharType="begin"/>
    </w:r>
    <w:r>
      <w:rPr>
        <w:rStyle w:val="42"/>
        <w:kern w:val="28"/>
        <w:sz w:val="28"/>
        <w:szCs w:val="28"/>
      </w:rPr>
      <w:instrText xml:space="preserve"> PAGE </w:instrText>
    </w:r>
    <w:r>
      <w:rPr>
        <w:rStyle w:val="42"/>
        <w:kern w:val="28"/>
        <w:sz w:val="28"/>
        <w:szCs w:val="28"/>
      </w:rPr>
      <w:fldChar w:fldCharType="separate"/>
    </w:r>
    <w:r>
      <w:rPr>
        <w:rStyle w:val="42"/>
        <w:kern w:val="28"/>
        <w:sz w:val="28"/>
        <w:szCs w:val="28"/>
        <w:lang w:val="en-US" w:eastAsia="zh-CN"/>
      </w:rPr>
      <w:t>5</w:t>
    </w:r>
    <w:r>
      <w:rPr>
        <w:rStyle w:val="42"/>
        <w:kern w:val="28"/>
        <w:sz w:val="28"/>
        <w:szCs w:val="28"/>
      </w:rPr>
      <w:fldChar w:fldCharType="end"/>
    </w:r>
    <w:r>
      <w:rPr>
        <w:rStyle w:val="42"/>
        <w:rFonts w:hint="eastAsia"/>
        <w:spacing w:val="40"/>
        <w:kern w:val="28"/>
        <w:sz w:val="28"/>
        <w:szCs w:val="28"/>
      </w:rPr>
      <w:t xml:space="preserve"> </w:t>
    </w:r>
    <w:r>
      <w:rPr>
        <w:kern w:val="28"/>
        <w:sz w:val="28"/>
        <w:szCs w:val="28"/>
      </w:rPr>
      <w:t>—</w:t>
    </w:r>
  </w:p>
  <w:p>
    <w:pPr>
      <w:pStyle w:val="33"/>
      <w:tabs>
        <w:tab w:val="center" w:pos="4153"/>
        <w:tab w:val="right" w:pos="8306"/>
      </w:tabs>
      <w:ind w:right="360" w:firstLine="360"/>
      <w:rPr>
        <w:rFonts w:hint="eastAsia"/>
        <w:szCs w:val="24"/>
        <w:lang w:eastAsia="zh-CN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3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42"/>
      </w:rPr>
    </w:pPr>
    <w:r>
      <w:rPr>
        <w:rStyle w:val="42"/>
      </w:rPr>
      <w:fldChar w:fldCharType="begin"/>
    </w:r>
    <w:r>
      <w:rPr>
        <w:rStyle w:val="42"/>
      </w:rPr>
      <w:instrText xml:space="preserve">PAGE  </w:instrText>
    </w:r>
    <w:r>
      <w:rPr>
        <w:rStyle w:val="42"/>
      </w:rPr>
      <w:fldChar w:fldCharType="separate"/>
    </w:r>
    <w:r>
      <w:rPr>
        <w:rStyle w:val="42"/>
        <w:vanish/>
      </w:rPr>
      <w:t xml:space="preserve"> </w:t>
    </w:r>
    <w:r>
      <w:rPr>
        <w:rStyle w:val="42"/>
      </w:rPr>
      <w:fldChar w:fldCharType="end"/>
    </w:r>
  </w:p>
  <w:p>
    <w:pPr>
      <w:pStyle w:val="33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32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3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uppressAutoHyphens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ar-SA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autoRedefine/>
    <w:next w:val="0"/>
    <w:pPr>
      <w:widowControl w:val="0"/>
      <w:suppressAutoHyphens w:val="0"/>
      <w:ind w:left="168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32">
    <w:name w:val="header"/>
    <w:next w:val="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Times New Roman" w:eastAsia="宋体" w:cs="Times New Roman" w:hAnsi="Times New Roman"/>
      <w:kern w:val="2"/>
      <w:sz w:val="18"/>
      <w:szCs w:val="18"/>
      <w:bdr w:val="none" w:sz="0" w:space="0" w:color="auto"/>
      <w:lang w:val="en-US" w:eastAsia="ar-SA" w:bidi="ar-SA"/>
    </w:rPr>
  </w:style>
  <w:style w:type="paragraph" w:styleId="33">
    <w:name w:val="footer"/>
    <w:next w:val="16"/>
    <w:pPr>
      <w:widowControl w:val="0"/>
      <w:tabs>
        <w:tab w:val="center" w:pos="4153"/>
        <w:tab w:val="right" w:pos="8306"/>
      </w:tabs>
      <w:suppressAutoHyphens/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ar-SA" w:bidi="ar-SA"/>
    </w:rPr>
  </w:style>
  <w:style w:type="character" w:styleId="42">
    <w:name w:val="page number"/>
  </w:style>
  <w:style w:type="paragraph" w:styleId="99">
    <w:name w:val="HTML Preformatted"/>
    <w:next w:val="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cs="Courier New"/>
      <w:sz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4</Pages>
  <Words>551</Words>
  <Characters>612</Characters>
  <Lines>171</Lines>
  <Paragraphs>62</Paragraphs>
  <CharactersWithSpaces>628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梁玲玲</dc:creator>
  <cp:lastModifiedBy>梁玲玲</cp:lastModifiedBy>
  <cp:revision>1</cp:revision>
  <dcterms:created xsi:type="dcterms:W3CDTF">2020-01-13T02:02:00Z</dcterms:created>
  <dcterms:modified xsi:type="dcterms:W3CDTF">2020-01-13T02:02:13Z</dcterms:modified>
</cp:coreProperties>
</file>