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三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>
        <w:rPr>
          <w:rFonts w:ascii="方正小标宋简体" w:eastAsia="方正小标宋简体"/>
          <w:sz w:val="36"/>
          <w:szCs w:val="36"/>
        </w:rPr>
        <w:t>11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7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日。</w:t>
      </w:r>
      <w:r>
        <w:rPr>
          <w:rFonts w:ascii="仿宋_GB2312" w:eastAsia="仿宋_GB2312" w:hint="eastAsia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388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71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139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9075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825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608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673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887</w:t>
      </w:r>
      <w:r>
        <w:rPr>
          <w:rFonts w:ascii="仿宋_GB2312" w:eastAsia="仿宋_GB2312" w:hint="eastAsia"/>
          <w:sz w:val="32"/>
          <w:szCs w:val="32"/>
        </w:rPr>
        <w:t>件。其中，Ⅱ类医疗器械批准首次注册</w:t>
      </w:r>
      <w:r>
        <w:rPr>
          <w:rFonts w:ascii="仿宋_GB2312" w:eastAsia="仿宋_GB2312"/>
          <w:sz w:val="32"/>
          <w:szCs w:val="32"/>
        </w:rPr>
        <w:t>128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380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187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224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25910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1132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4028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242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61家次，其中，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54家次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</w:t>
      </w:r>
      <w:r>
        <w:rPr>
          <w:rFonts w:ascii="仿宋_GB2312" w:eastAsia="仿宋_GB2312" w:cs="Times New Roman"/>
          <w:sz w:val="32"/>
          <w:szCs w:val="32"/>
          <w:lang w:bidi="ar-SA"/>
        </w:rPr>
        <w:t>第三类医疗器械生产企业7家次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省级及以下组织飞行检查31家次，停产整顿5家次。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（详见附表6）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共9456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</w:t>
      </w:r>
      <w:r>
        <w:rPr>
          <w:rFonts w:ascii="仿宋_GB2312" w:eastAsia="仿宋_GB2312" w:cs="Times New Roman"/>
          <w:sz w:val="32"/>
          <w:szCs w:val="32"/>
          <w:lang w:bidi="ar-SA"/>
        </w:rPr>
        <w:t>，省级及以下组织飞行检查45家次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438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企业或单位372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64</w:t>
      </w:r>
      <w:r>
        <w:rPr>
          <w:rFonts w:ascii="仿宋_GB2312" w:eastAsia="仿宋_GB2312" w:hint="eastAsia"/>
          <w:color w:val="000000"/>
          <w:sz w:val="32"/>
          <w:szCs w:val="32"/>
        </w:rPr>
        <w:t>家次，抽验化妆品</w:t>
      </w:r>
      <w:r>
        <w:rPr>
          <w:rFonts w:ascii="仿宋_GB2312" w:eastAsia="仿宋_GB2312"/>
          <w:color w:val="000000"/>
          <w:sz w:val="32"/>
          <w:szCs w:val="32"/>
        </w:rPr>
        <w:t>932</w:t>
      </w:r>
      <w:r>
        <w:rPr>
          <w:rFonts w:ascii="仿宋_GB2312" w:eastAsia="仿宋_GB2312" w:hint="eastAsia"/>
          <w:color w:val="000000"/>
          <w:sz w:val="32"/>
          <w:szCs w:val="32"/>
        </w:rPr>
        <w:t>批次。（详见附表8）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季度，全区查处违法“两品一械”案件共</w:t>
      </w:r>
      <w:r>
        <w:rPr>
          <w:rFonts w:ascii="仿宋_GB2312" w:eastAsia="仿宋_GB2312"/>
          <w:sz w:val="32"/>
          <w:szCs w:val="32"/>
        </w:rPr>
        <w:t>1240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1111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129</w:t>
      </w:r>
      <w:r>
        <w:rPr>
          <w:rFonts w:ascii="仿宋_GB2312" w:eastAsia="仿宋_GB2312" w:hint="eastAsia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492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118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40.41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227.60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11.53</w:t>
      </w:r>
      <w:r>
        <w:rPr>
          <w:rFonts w:ascii="仿宋_GB2312" w:eastAsia="仿宋_GB2312" w:hint="eastAsia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关闭1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427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第3季度违法药品一般程序案件和简易程序案件货值均为10</w:t>
      </w:r>
      <w:r>
        <w:rPr>
          <w:rFonts w:ascii="仿宋_GB2312" w:eastAsia="仿宋_GB2312" w:hint="eastAsia"/>
          <w:sz w:val="32"/>
          <w:szCs w:val="32"/>
        </w:rPr>
        <w:t>万元以下。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季度，查处药品一般程序案件的主要渠道为日常监管和专项检查、</w:t>
      </w:r>
      <w:r>
        <w:rPr>
          <w:rFonts w:ascii="仿宋_GB2312" w:eastAsia="仿宋_GB2312"/>
          <w:sz w:val="32"/>
          <w:szCs w:val="32"/>
        </w:rPr>
        <w:t>投诉举报、</w:t>
      </w:r>
      <w:r>
        <w:rPr>
          <w:rFonts w:ascii="仿宋_GB2312" w:eastAsia="仿宋_GB2312" w:hint="eastAsia"/>
          <w:sz w:val="32"/>
          <w:szCs w:val="32"/>
        </w:rPr>
        <w:t>监督抽验，分别为</w:t>
      </w:r>
      <w:r>
        <w:rPr>
          <w:rFonts w:ascii="仿宋_GB2312" w:eastAsia="仿宋_GB2312"/>
          <w:sz w:val="32"/>
          <w:szCs w:val="32"/>
        </w:rPr>
        <w:t>438</w:t>
      </w:r>
      <w:r>
        <w:rPr>
          <w:rFonts w:ascii="仿宋_GB2312" w:eastAsia="仿宋_GB2312" w:hint="eastAsia"/>
          <w:sz w:val="32"/>
          <w:szCs w:val="32"/>
        </w:rPr>
        <w:t>件、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、22件</w:t>
      </w:r>
      <w:r>
        <w:rPr>
          <w:rFonts w:ascii="仿宋_GB2312" w:eastAsia="仿宋_GB2312" w:hint="eastAsia"/>
          <w:sz w:val="32"/>
          <w:szCs w:val="32"/>
        </w:rPr>
        <w:t>，占一般程序案件总数的</w:t>
      </w:r>
      <w:r>
        <w:rPr>
          <w:rFonts w:ascii="仿宋_GB2312" w:eastAsia="仿宋_GB2312"/>
          <w:sz w:val="32"/>
          <w:szCs w:val="32"/>
        </w:rPr>
        <w:t>89.02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、4.88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、4.47%</w:t>
      </w:r>
      <w:r>
        <w:rPr>
          <w:rFonts w:ascii="仿宋_GB2312" w:eastAsia="仿宋_GB2312" w:hint="eastAsia"/>
          <w:sz w:val="32"/>
          <w:szCs w:val="32"/>
        </w:rPr>
        <w:t>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426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86.59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246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，简易程序案件9件。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938.65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329.12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，没收违法所得7.52万元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240</w:t>
      </w:r>
      <w:r>
        <w:rPr>
          <w:rFonts w:ascii="仿宋_GB2312" w:eastAsia="仿宋_GB2312" w:hint="eastAsia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97.56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、投诉举报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分别为203件、17件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82.52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和6.91%</w:t>
      </w:r>
      <w:r>
        <w:rPr>
          <w:rFonts w:ascii="仿宋_GB2312" w:eastAsia="仿宋_GB2312" w:hint="eastAsia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经营企业、</w:t>
      </w:r>
      <w:r>
        <w:rPr>
          <w:rFonts w:ascii="仿宋_GB2312" w:eastAsia="仿宋_GB2312"/>
          <w:sz w:val="32"/>
          <w:szCs w:val="32"/>
        </w:rPr>
        <w:t>使用单位居多，</w:t>
      </w:r>
      <w:r>
        <w:rPr>
          <w:rFonts w:ascii="仿宋_GB2312" w:eastAsia="仿宋_GB2312" w:hint="eastAsia"/>
          <w:sz w:val="32"/>
          <w:szCs w:val="32"/>
        </w:rPr>
        <w:t>分别占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53.25</w:t>
      </w:r>
      <w:r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39.84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373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2件</w:t>
      </w:r>
      <w:r>
        <w:rPr>
          <w:rFonts w:ascii="仿宋_GB2312" w:eastAsia="仿宋_GB2312" w:hint="eastAsia"/>
          <w:sz w:val="32"/>
          <w:szCs w:val="32"/>
        </w:rPr>
        <w:t>。一般程序案件中货值金额</w:t>
      </w:r>
      <w:r>
        <w:rPr>
          <w:rFonts w:ascii="仿宋_GB2312" w:eastAsia="仿宋_GB2312"/>
          <w:sz w:val="32"/>
          <w:szCs w:val="32"/>
        </w:rPr>
        <w:t>42.44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26.20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6.02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364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87.40</w:t>
      </w:r>
      <w:r>
        <w:rPr>
          <w:rFonts w:ascii="仿宋_GB2312" w:eastAsia="仿宋_GB2312" w:hint="eastAsia"/>
          <w:sz w:val="32"/>
          <w:szCs w:val="32"/>
        </w:rPr>
        <w:t>%。从货值划分看，货值2万元以下的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369件，占化妆品一般程序案件总数的98.93%</w:t>
      </w:r>
      <w:r>
        <w:rPr>
          <w:rFonts w:ascii="仿宋_GB2312" w:eastAsia="仿宋_GB2312" w:hint="eastAsia"/>
          <w:sz w:val="32"/>
          <w:szCs w:val="32"/>
        </w:rPr>
        <w:t>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65.62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，共对</w:t>
      </w:r>
      <w:r>
        <w:rPr>
          <w:rFonts w:ascii="仿宋_GB2312" w:eastAsia="仿宋_GB2312"/>
          <w:spacing w:val="-4"/>
          <w:sz w:val="32"/>
          <w:szCs w:val="32"/>
        </w:rPr>
        <w:t>670</w:t>
      </w:r>
      <w:r>
        <w:rPr>
          <w:rFonts w:ascii="仿宋_GB2312" w:eastAsia="仿宋_GB2312" w:hint="eastAsia"/>
          <w:spacing w:val="-4"/>
          <w:sz w:val="32"/>
          <w:szCs w:val="32"/>
        </w:rPr>
        <w:t>家</w:t>
      </w:r>
      <w:r>
        <w:rPr>
          <w:rFonts w:ascii="仿宋_GB2312" w:eastAsia="仿宋_GB2312"/>
          <w:spacing w:val="-4"/>
          <w:sz w:val="32"/>
          <w:szCs w:val="32"/>
        </w:rPr>
        <w:t>次</w:t>
      </w:r>
      <w:r>
        <w:rPr>
          <w:rFonts w:ascii="仿宋_GB2312" w:eastAsia="仿宋_GB2312" w:hint="eastAsia"/>
          <w:spacing w:val="-4"/>
          <w:sz w:val="32"/>
          <w:szCs w:val="32"/>
        </w:rPr>
        <w:t>企业</w:t>
      </w:r>
      <w:r>
        <w:rPr>
          <w:rFonts w:ascii="仿宋_GB2312" w:eastAsia="仿宋_GB2312"/>
          <w:spacing w:val="-4"/>
          <w:sz w:val="32"/>
          <w:szCs w:val="32"/>
        </w:rPr>
        <w:t>1875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。按药品类别分，抽验化学药品450批次，抽验中成药863批次；按抽验环节分，抽验生产环节548批次，抽验经营环节870批次，抽验使用环节457批次，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</w:t>
      </w:r>
      <w:r>
        <w:rPr>
          <w:rFonts w:ascii="仿宋_GB2312" w:eastAsia="仿宋_GB2312"/>
          <w:spacing w:val="-4"/>
          <w:sz w:val="32"/>
          <w:szCs w:val="32"/>
        </w:rPr>
        <w:t>分别为2.37%、1.84%、1.97%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388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71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91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139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9075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779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583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126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673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103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887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126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103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1506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187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224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19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380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25910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1132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4028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242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54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31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9456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45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438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372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64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932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492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246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373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1111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118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</w:rPr>
            </w:pPr>
            <w:r>
              <w:rPr>
                <w:rFonts w:ascii="Arial" w:eastAsia="宋体" w:cs="Arial" w:hAnsi="Arial"/>
                <w:sz w:val="20"/>
              </w:rPr>
              <w:t>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</w:rPr>
            </w:pPr>
            <w:r>
              <w:rPr>
                <w:rFonts w:ascii="Arial" w:eastAsia="宋体" w:cs="Arial" w:hAnsi="Arial"/>
                <w:sz w:val="20"/>
              </w:rPr>
              <w:t>2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1240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3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1</w:t>
            </w:r>
          </w:p>
        </w:tc>
      </w:tr>
      <w:tr>
        <w:trPr>
          <w:trHeight w:hRule="exact" w:val="398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Arial"/>
                <w:sz w:val="24"/>
              </w:rPr>
            </w:pPr>
            <w:r>
              <w:rPr>
                <w:rFonts w:ascii="宋体" w:eastAsia="宋体" w:cs="Arial"/>
                <w:sz w:val="24"/>
              </w:rPr>
              <w:t>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80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94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9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129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141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63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64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70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83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184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222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222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37</w:t>
            </w:r>
            <w:r>
              <w:rPr>
                <w:rFonts w:ascii="微软雅黑" w:eastAsia="微软雅黑" w:cs="Arial" w:hint="eastAsia"/>
                <w:szCs w:val="21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43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43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57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85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51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69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69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147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147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25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76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78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58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68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22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33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18"/>
              </w:rPr>
            </w:pPr>
            <w:r>
              <w:rPr>
                <w:rFonts w:ascii="微软雅黑" w:eastAsia="宋体" w:cs="Arial" w:hAnsi="微软雅黑"/>
                <w:color w:val="000000"/>
                <w:sz w:val="18"/>
              </w:rPr>
              <w:t xml:space="preserve">2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59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492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118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438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113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492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118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
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111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40.41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0.01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227.6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0.1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11.53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445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12.90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39.52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2.87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5.74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10.03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33.78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2.71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69.2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0.92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0.13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1.79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69.07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2.11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59.87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2.11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59.87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203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131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938.65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329.12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7.52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219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14.00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5.98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7.39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136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911.28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938.65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373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326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369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244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42.44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0.01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26.20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0.01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6.02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364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366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247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450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343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863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6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280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496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31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548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13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371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870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16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182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457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9 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微软雅黑" w:eastAsia="微软雅黑" w:hint="eastAsia"/>
                <w:sz w:val="22"/>
              </w:rPr>
            </w:pPr>
            <w:r>
              <w:rPr>
                <w:rStyle w:val="10"/>
                <w:rFonts w:ascii="微软雅黑" w:eastAsia="微软雅黑"/>
                <w:sz w:val="22"/>
              </w:rPr>
              <w:t>670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1875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38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16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7">
    <w:name w:val="page number"/>
  </w:style>
  <w:style w:type="paragraph" w:styleId="18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1593</TotalTime>
  <Application>Yozo_Office</Application>
  <Pages>19</Pages>
  <Words>4992</Words>
  <Characters>5749</Characters>
  <Lines>1302</Lines>
  <Paragraphs>1159</Paragraphs>
  <CharactersWithSpaces>6120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2020-07-24T07:32:25Z</dcterms:created>
  <dcterms:modified xsi:type="dcterms:W3CDTF">2020-11-16T01:26:23Z</dcterms:modified>
</cp:coreProperties>
</file>